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475"/>
      <w:bookmarkStart w:id="1" w:name="_Toc15396597"/>
      <w:bookmarkStart w:id="2" w:name="_Toc15377193"/>
      <w:bookmarkStart w:id="3" w:name="_Toc15378441"/>
      <w:bookmarkStart w:id="4" w:name="_Toc15377425"/>
      <w:bookmarkStart w:id="5"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838153002"/>
      <w:bookmarkStart w:id="7" w:name="_Toc473204443"/>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96598"/>
      <w:bookmarkStart w:id="9" w:name="_Toc15396476"/>
      <w:bookmarkStart w:id="10" w:name="_Toc15378442"/>
      <w:bookmarkStart w:id="11" w:name="_Toc15377194"/>
      <w:bookmarkStart w:id="12" w:name="_Toc15377426"/>
      <w:bookmarkStart w:id="13" w:name="_Toc51629921"/>
      <w:bookmarkStart w:id="14" w:name="_Toc959131545"/>
      <w:r>
        <w:rPr>
          <w:rFonts w:hint="eastAsia" w:ascii="方正小标宋简体" w:hAnsi="方正小标宋简体" w:eastAsia="方正小标宋简体" w:cs="方正小标宋简体"/>
          <w:sz w:val="72"/>
          <w:szCs w:val="72"/>
        </w:rPr>
        <w:t>四川省</w:t>
      </w:r>
      <w:bookmarkEnd w:id="5"/>
      <w:bookmarkStart w:id="15" w:name="_Toc15306268"/>
      <w:r>
        <w:rPr>
          <w:rFonts w:hint="eastAsia" w:ascii="方正小标宋简体" w:hAnsi="方正小标宋简体" w:eastAsia="方正小标宋简体" w:cs="方正小标宋简体"/>
          <w:sz w:val="72"/>
          <w:szCs w:val="72"/>
          <w:lang w:eastAsia="zh-CN"/>
        </w:rPr>
        <w:t>统计</w:t>
      </w:r>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bookmarkStart w:id="111" w:name="_GoBack"/>
      <w:bookmarkEnd w:id="111"/>
    </w:p>
    <w:p>
      <w:pPr>
        <w:pStyle w:val="12"/>
      </w:pPr>
      <w:r>
        <w:rPr>
          <w:rFonts w:hint="eastAsia"/>
        </w:rPr>
        <w:t>公开时间：2023年8月</w:t>
      </w:r>
      <w:r>
        <w:rPr>
          <w:rFonts w:hint="eastAsia"/>
          <w:lang w:val="en-US" w:eastAsia="zh-CN"/>
        </w:rPr>
        <w:t>26</w:t>
      </w:r>
      <w:r>
        <w:rPr>
          <w:rFonts w:hint="eastAsia"/>
        </w:rPr>
        <w:t>日</w:t>
      </w:r>
    </w:p>
    <w:p/>
    <w:sdt>
      <w:sdtPr>
        <w:rPr>
          <w:rFonts w:ascii="宋体" w:hAnsi="宋体" w:eastAsia="宋体" w:cs="Times New Roman"/>
          <w:kern w:val="2"/>
          <w:sz w:val="21"/>
          <w:szCs w:val="24"/>
          <w:lang w:val="en-US" w:eastAsia="zh-CN" w:bidi="ar-SA"/>
        </w:rPr>
        <w:id w:val="376507654"/>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pPr>
          <w:r>
            <w:rPr>
              <w:rFonts w:ascii="宋体" w:hAnsi="宋体" w:eastAsia="宋体"/>
              <w:sz w:val="40"/>
              <w:szCs w:val="48"/>
            </w:rPr>
            <w:t>目录</w:t>
          </w:r>
          <w:r>
            <w:fldChar w:fldCharType="begin"/>
          </w:r>
          <w:r>
            <w:instrText xml:space="preserve">TOC \o "1-2" \h \u </w:instrText>
          </w:r>
          <w:r>
            <w:fldChar w:fldCharType="separate"/>
          </w:r>
        </w:p>
        <w:p>
          <w:pPr>
            <w:pStyle w:val="12"/>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_Toc2012266445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第一部分 部门概况</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_Toc2012266445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_Toc1771405698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一、部门职责</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_Toc1771405698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_Toc2081266970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二、机构设置</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_Toc2081266970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4</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2"/>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_Toc857535992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第二部分 2023年度部门决算情况说明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_Toc857535992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6</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_Toc1829407287 </w:instrText>
          </w:r>
          <w:r>
            <w:rPr>
              <w:rFonts w:hint="eastAsia" w:ascii="黑体" w:hAnsi="黑体" w:eastAsia="黑体" w:cs="Times New Roman"/>
              <w:kern w:val="2"/>
              <w:sz w:val="21"/>
              <w:szCs w:val="24"/>
              <w:lang w:val="en-US" w:eastAsia="zh-CN" w:bidi="ar-SA"/>
            </w:rPr>
            <w:fldChar w:fldCharType="separate"/>
          </w:r>
          <w:r>
            <w:rPr>
              <w:rFonts w:hint="default" w:ascii="黑体" w:hAnsi="黑体" w:eastAsia="黑体" w:cs="Times New Roman"/>
              <w:kern w:val="2"/>
              <w:sz w:val="21"/>
              <w:szCs w:val="24"/>
              <w:lang w:val="en-US" w:eastAsia="zh-CN" w:bidi="ar-SA"/>
            </w:rPr>
            <w:t>一、</w:t>
          </w:r>
          <w:r>
            <w:rPr>
              <w:rFonts w:hint="eastAsia" w:ascii="黑体" w:hAnsi="黑体" w:eastAsia="黑体" w:cs="Times New Roman"/>
              <w:kern w:val="2"/>
              <w:sz w:val="21"/>
              <w:szCs w:val="24"/>
              <w:lang w:val="en-US" w:eastAsia="zh-CN" w:bidi="ar-SA"/>
            </w:rPr>
            <w:t>收入支出决算总体情况说明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_Toc1829407287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6</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_Toc1405750247 </w:instrText>
          </w:r>
          <w:r>
            <w:rPr>
              <w:rFonts w:hint="eastAsia" w:ascii="黑体" w:hAnsi="黑体" w:eastAsia="黑体" w:cs="Times New Roman"/>
              <w:kern w:val="2"/>
              <w:sz w:val="21"/>
              <w:szCs w:val="24"/>
              <w:lang w:val="en-US" w:eastAsia="zh-CN" w:bidi="ar-SA"/>
            </w:rPr>
            <w:fldChar w:fldCharType="separate"/>
          </w:r>
          <w:r>
            <w:rPr>
              <w:rFonts w:hint="default" w:ascii="黑体" w:hAnsi="黑体" w:eastAsia="黑体" w:cs="Times New Roman"/>
              <w:kern w:val="2"/>
              <w:sz w:val="21"/>
              <w:szCs w:val="24"/>
              <w:lang w:val="en-US" w:eastAsia="zh-CN" w:bidi="ar-SA"/>
            </w:rPr>
            <w:t>二、</w:t>
          </w:r>
          <w:r>
            <w:rPr>
              <w:rFonts w:hint="eastAsia" w:ascii="黑体" w:hAnsi="黑体" w:eastAsia="黑体" w:cs="Times New Roman"/>
              <w:kern w:val="2"/>
              <w:sz w:val="21"/>
              <w:szCs w:val="24"/>
              <w:lang w:val="en-US" w:eastAsia="zh-CN" w:bidi="ar-SA"/>
            </w:rPr>
            <w:t>收入决算情况说明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_Toc1405750247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6</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_Toc2103154334 </w:instrText>
          </w:r>
          <w:r>
            <w:rPr>
              <w:rFonts w:hint="eastAsia" w:ascii="黑体" w:hAnsi="黑体" w:eastAsia="黑体" w:cs="Times New Roman"/>
              <w:kern w:val="2"/>
              <w:sz w:val="21"/>
              <w:szCs w:val="24"/>
              <w:lang w:val="en-US" w:eastAsia="zh-CN" w:bidi="ar-SA"/>
            </w:rPr>
            <w:fldChar w:fldCharType="separate"/>
          </w:r>
          <w:r>
            <w:rPr>
              <w:rFonts w:hint="default" w:ascii="黑体" w:hAnsi="黑体" w:eastAsia="黑体" w:cs="Times New Roman"/>
              <w:kern w:val="2"/>
              <w:sz w:val="21"/>
              <w:szCs w:val="24"/>
              <w:lang w:val="en-US" w:eastAsia="zh-CN" w:bidi="ar-SA"/>
            </w:rPr>
            <w:t>三、</w:t>
          </w:r>
          <w:r>
            <w:rPr>
              <w:rFonts w:hint="eastAsia" w:ascii="黑体" w:hAnsi="黑体" w:eastAsia="黑体" w:cs="Times New Roman"/>
              <w:kern w:val="2"/>
              <w:sz w:val="21"/>
              <w:szCs w:val="24"/>
              <w:lang w:val="en-US" w:eastAsia="zh-CN" w:bidi="ar-SA"/>
            </w:rPr>
            <w:t>支出决算情况说明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_Toc2103154334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6</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_Toc1217410016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四、财政拨款收入支出决算总体情况说明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_Toc1217410016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6</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_Toc93062939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五、一般公共预算财政拨款支出决算情况说明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_Toc93062939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7</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_Toc236177685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六、一般公共预算财政拨款基本支出决算情况说明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_Toc236177685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9</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_Toc460715923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七、财政拨款“三公”经费支出决算情况说明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_Toc460715923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9</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_Toc2084387080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八、政府性基金预算支出决算情况说明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_Toc2084387080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11</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_Toc2083777452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九、国有资本经营预算支出决算情况说明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_Toc2083777452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11</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_Toc556457234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十、其他重要事项的情况说明</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_Toc556457234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11</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2"/>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_Toc29082624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第三部分 名词解释</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_Toc29082624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13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2"/>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_Toc1684698565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第四部分 附件</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_Toc1684698565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14</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_Toc1557267874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附件1</w:t>
          </w:r>
          <w:r>
            <w:rPr>
              <w:rFonts w:hint="eastAsia" w:ascii="黑体" w:hAnsi="黑体" w:eastAsia="黑体" w:cs="Times New Roman"/>
              <w:kern w:val="2"/>
              <w:sz w:val="21"/>
              <w:szCs w:val="24"/>
              <w:lang w:val="en-US" w:eastAsia="zh-CN" w:bidi="ar-SA"/>
            </w:rPr>
            <w:tab/>
          </w: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PAGEREF _Toc1557267874 \h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15</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fldChar w:fldCharType="end"/>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_Toc1142233337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附件2</w:t>
          </w:r>
          <w:r>
            <w:rPr>
              <w:rFonts w:hint="eastAsia" w:ascii="黑体" w:hAnsi="黑体" w:eastAsia="黑体" w:cs="Times New Roman"/>
              <w:kern w:val="2"/>
              <w:sz w:val="21"/>
              <w:szCs w:val="24"/>
              <w:lang w:val="en-US" w:eastAsia="zh-CN" w:bidi="ar-SA"/>
            </w:rPr>
            <w:tab/>
            <w:t>2</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5</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_Toc1305984775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zh-CN" w:eastAsia="zh-CN" w:bidi="ar-SA"/>
            </w:rPr>
            <w:t>附件</w:t>
          </w:r>
          <w:r>
            <w:rPr>
              <w:rFonts w:hint="eastAsia" w:ascii="黑体" w:hAnsi="黑体" w:eastAsia="黑体" w:cs="Times New Roman"/>
              <w:kern w:val="2"/>
              <w:sz w:val="21"/>
              <w:szCs w:val="24"/>
              <w:lang w:val="en-US" w:eastAsia="zh-CN" w:bidi="ar-SA"/>
            </w:rPr>
            <w:t>3</w:t>
          </w:r>
          <w:r>
            <w:rPr>
              <w:rFonts w:hint="eastAsia" w:ascii="黑体" w:hAnsi="黑体" w:eastAsia="黑体" w:cs="Times New Roman"/>
              <w:kern w:val="2"/>
              <w:sz w:val="21"/>
              <w:szCs w:val="24"/>
              <w:lang w:val="en-US" w:eastAsia="zh-CN" w:bidi="ar-SA"/>
            </w:rPr>
            <w:tab/>
            <w:t>2</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9</w:t>
          </w:r>
        </w:p>
        <w:p>
          <w:pPr>
            <w:pStyle w:val="12"/>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_Toc758213435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第五部分 附表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_Toc1315665957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一、收入支出决算总表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_Toc1637661384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二、收入决算表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_Toc1629033587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三、支出决算表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_Toc251374948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四、财政拨款收入支出决算总表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_Toc423187499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五、财政拨款支出决算明细表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_Toc783047305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六、一般公共预算财政拨款支出决算表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_Toc459671336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七、一般公共预算财政拨款支出决算明细表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lang w:val="en-US"/>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_Toc2011156530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八、一般公共预算财政拨款基本支出决算表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_Toc1780971415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九、一般公共预算财政拨款项目支出决算表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_Toc932875779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十、政府性基金预算财政拨款收入支出决算表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_Toc822804427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十一、国有资本经营预算财政拨款收入支出决算表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_Toc1645754212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十二、国有资本经营预算财政拨款支出决算表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pPr>
            <w:pStyle w:val="13"/>
            <w:tabs>
              <w:tab w:val="right" w:leader="dot" w:pos="8306"/>
              <w:tab w:val="clear" w:pos="8296"/>
            </w:tabs>
            <w:rPr>
              <w:rFonts w:hint="default"/>
              <w:lang w:val="en-US"/>
            </w:rPr>
          </w:pPr>
          <w:r>
            <w:rPr>
              <w:rFonts w:hint="eastAsia" w:ascii="黑体" w:hAnsi="黑体" w:eastAsia="黑体" w:cs="Times New Roman"/>
              <w:kern w:val="2"/>
              <w:sz w:val="21"/>
              <w:szCs w:val="24"/>
              <w:lang w:val="en-US" w:eastAsia="zh-CN" w:bidi="ar-SA"/>
            </w:rPr>
            <w:fldChar w:fldCharType="begin"/>
          </w:r>
          <w:r>
            <w:rPr>
              <w:rFonts w:hint="eastAsia" w:ascii="黑体" w:hAnsi="黑体" w:eastAsia="黑体" w:cs="Times New Roman"/>
              <w:kern w:val="2"/>
              <w:sz w:val="21"/>
              <w:szCs w:val="24"/>
              <w:lang w:val="en-US" w:eastAsia="zh-CN" w:bidi="ar-SA"/>
            </w:rPr>
            <w:instrText xml:space="preserve"> HYPERLINK \l _Toc556797829 </w:instrText>
          </w:r>
          <w:r>
            <w:rPr>
              <w:rFonts w:hint="eastAsia" w:ascii="黑体" w:hAnsi="黑体" w:eastAsia="黑体" w:cs="Times New Roman"/>
              <w:kern w:val="2"/>
              <w:sz w:val="21"/>
              <w:szCs w:val="24"/>
              <w:lang w:val="en-US" w:eastAsia="zh-CN" w:bidi="ar-SA"/>
            </w:rPr>
            <w:fldChar w:fldCharType="separate"/>
          </w:r>
          <w:r>
            <w:rPr>
              <w:rFonts w:hint="eastAsia" w:ascii="黑体" w:hAnsi="黑体" w:eastAsia="黑体" w:cs="Times New Roman"/>
              <w:kern w:val="2"/>
              <w:sz w:val="21"/>
              <w:szCs w:val="24"/>
              <w:lang w:val="en-US" w:eastAsia="zh-CN" w:bidi="ar-SA"/>
            </w:rPr>
            <w:t>十三、财政拨款“三公”经费支出决算表</w:t>
          </w:r>
          <w:r>
            <w:rPr>
              <w:rFonts w:hint="eastAsia" w:ascii="黑体" w:hAnsi="黑体" w:eastAsia="黑体" w:cs="Times New Roman"/>
              <w:kern w:val="2"/>
              <w:sz w:val="21"/>
              <w:szCs w:val="24"/>
              <w:lang w:val="en-US" w:eastAsia="zh-CN" w:bidi="ar-SA"/>
            </w:rPr>
            <w:tab/>
            <w:t>3</w:t>
          </w:r>
          <w:r>
            <w:rPr>
              <w:rFonts w:hint="eastAsia" w:ascii="黑体" w:hAnsi="黑体" w:eastAsia="黑体" w:cs="Times New Roman"/>
              <w:kern w:val="2"/>
              <w:sz w:val="21"/>
              <w:szCs w:val="24"/>
              <w:lang w:val="en-US" w:eastAsia="zh-CN" w:bidi="ar-SA"/>
            </w:rPr>
            <w:fldChar w:fldCharType="end"/>
          </w:r>
          <w:r>
            <w:rPr>
              <w:rFonts w:hint="eastAsia" w:ascii="黑体" w:hAnsi="黑体" w:eastAsia="黑体" w:cs="Times New Roman"/>
              <w:kern w:val="2"/>
              <w:sz w:val="21"/>
              <w:szCs w:val="24"/>
              <w:lang w:val="en-US" w:eastAsia="zh-CN" w:bidi="ar-SA"/>
            </w:rPr>
            <w:t>4</w:t>
          </w:r>
        </w:p>
        <w:p>
          <w:r>
            <w:fldChar w:fldCharType="end"/>
          </w:r>
        </w:p>
      </w:sdtContent>
    </w:sdt>
    <w:p>
      <w:pPr>
        <w:widowControl/>
        <w:spacing w:line="440" w:lineRule="exact"/>
        <w:jc w:val="center"/>
        <w:rPr>
          <w:rStyle w:val="29"/>
          <w:rFonts w:ascii="黑体" w:hAnsi="黑体" w:eastAsia="黑体"/>
          <w:b/>
          <w:bCs w:val="0"/>
        </w:rPr>
      </w:pPr>
      <w:bookmarkStart w:id="16" w:name="_Toc1452161937"/>
      <w:bookmarkStart w:id="17" w:name="_Toc2012266445"/>
      <w:r>
        <w:rPr>
          <w:rStyle w:val="29"/>
          <w:rFonts w:hint="eastAsia" w:ascii="黑体" w:hAnsi="黑体" w:eastAsia="黑体" w:cstheme="minorBidi"/>
          <w:b w:val="0"/>
          <w:bCs w:val="0"/>
        </w:rPr>
        <w:t>第一部分 部</w:t>
      </w:r>
      <w:r>
        <w:rPr>
          <w:rStyle w:val="29"/>
          <w:rFonts w:hint="eastAsia" w:ascii="黑体" w:hAnsi="黑体" w:eastAsia="黑体"/>
          <w:b w:val="0"/>
          <w:bCs w:val="0"/>
        </w:rPr>
        <w:t>门概况</w:t>
      </w:r>
      <w:bookmarkEnd w:id="16"/>
      <w:bookmarkEnd w:id="17"/>
    </w:p>
    <w:p>
      <w:pPr>
        <w:widowControl/>
        <w:jc w:val="left"/>
        <w:rPr>
          <w:rFonts w:ascii="黑体" w:eastAsia="黑体"/>
          <w:sz w:val="32"/>
          <w:szCs w:val="32"/>
        </w:rPr>
      </w:pPr>
    </w:p>
    <w:p>
      <w:pPr>
        <w:pStyle w:val="3"/>
        <w:numPr>
          <w:ilvl w:val="0"/>
          <w:numId w:val="1"/>
        </w:numPr>
        <w:rPr>
          <w:rFonts w:hint="eastAsia" w:ascii="黑体" w:hAnsi="黑体" w:eastAsia="黑体"/>
          <w:b w:val="0"/>
        </w:rPr>
      </w:pPr>
      <w:bookmarkStart w:id="18" w:name="_Toc1962209656"/>
      <w:bookmarkStart w:id="19" w:name="_Toc1771405698"/>
      <w:r>
        <w:rPr>
          <w:rFonts w:hint="eastAsia" w:ascii="黑体" w:hAnsi="黑体" w:eastAsia="黑体"/>
          <w:b w:val="0"/>
        </w:rPr>
        <w:t>部门职责</w:t>
      </w:r>
      <w:bookmarkEnd w:id="18"/>
      <w:bookmarkEnd w:id="19"/>
    </w:p>
    <w:p>
      <w:pPr>
        <w:ind w:firstLine="800" w:firstLineChars="250"/>
        <w:rPr>
          <w:rFonts w:hint="eastAsia" w:ascii="仿宋" w:hAnsi="仿宋" w:eastAsia="仿宋"/>
          <w:sz w:val="32"/>
          <w:szCs w:val="32"/>
        </w:rPr>
      </w:pPr>
      <w:r>
        <w:rPr>
          <w:rFonts w:hint="eastAsia" w:ascii="仿宋" w:hAnsi="仿宋" w:eastAsia="仿宋"/>
          <w:sz w:val="32"/>
          <w:szCs w:val="32"/>
        </w:rPr>
        <w:t>1.依照国家的法律法规、政策、方针，制定全县性的统计工作规范性文件，统计现代化建设规划和统计调查计划，组织领导和监督检查全县各镇（街道）和各部门的统计和国民经济核算等工作，准确及时反映地方社会经济发展的基本情况。监督检查统计法律法规的实施，依法对违反统计法律法规的单位和个人进行查处。</w:t>
      </w:r>
    </w:p>
    <w:p>
      <w:pPr>
        <w:ind w:firstLine="800" w:firstLineChars="250"/>
        <w:rPr>
          <w:rFonts w:hint="eastAsia" w:ascii="仿宋" w:hAnsi="仿宋" w:eastAsia="仿宋"/>
          <w:sz w:val="32"/>
          <w:szCs w:val="32"/>
        </w:rPr>
      </w:pPr>
      <w:r>
        <w:rPr>
          <w:rFonts w:hint="eastAsia" w:ascii="仿宋" w:hAnsi="仿宋" w:eastAsia="仿宋"/>
          <w:sz w:val="32"/>
          <w:szCs w:val="32"/>
        </w:rPr>
        <w:t>2.根据县级宏观管理和科学决策的要求，建立健全全县国民经济核算体系和统计指标体系，制定和管理全县统一的基本情况报表制度；制定或与有关部门共同制定全县统计标准，审定部门自制的统计报表。审查各乡镇政府和县政府各部门及社会团体的统计调查计划、调查方案、审批县内商业性统计调查活动，组织全县统计报表的管理工作。</w:t>
      </w:r>
    </w:p>
    <w:p>
      <w:pPr>
        <w:ind w:firstLine="800" w:firstLineChars="250"/>
        <w:rPr>
          <w:rFonts w:hint="eastAsia" w:ascii="仿宋" w:hAnsi="仿宋" w:eastAsia="仿宋"/>
          <w:sz w:val="32"/>
          <w:szCs w:val="32"/>
        </w:rPr>
      </w:pPr>
      <w:r>
        <w:rPr>
          <w:rFonts w:hint="eastAsia" w:ascii="仿宋" w:hAnsi="仿宋" w:eastAsia="仿宋"/>
          <w:sz w:val="32"/>
          <w:szCs w:val="32"/>
        </w:rPr>
        <w:t>3.在县政府的统一领导下，会同有关部门组织完成十年一周期的人口、农业普查和五年一周期的经济普查等重大国情国力普查和专项调查。</w:t>
      </w:r>
    </w:p>
    <w:p>
      <w:pPr>
        <w:ind w:firstLine="800" w:firstLineChars="250"/>
        <w:rPr>
          <w:rFonts w:hint="eastAsia" w:ascii="仿宋" w:hAnsi="仿宋" w:eastAsia="仿宋"/>
          <w:sz w:val="32"/>
          <w:szCs w:val="32"/>
        </w:rPr>
      </w:pPr>
      <w:r>
        <w:rPr>
          <w:rFonts w:hint="eastAsia" w:ascii="仿宋" w:hAnsi="仿宋" w:eastAsia="仿宋"/>
          <w:sz w:val="32"/>
          <w:szCs w:val="32"/>
        </w:rPr>
        <w:t>4.搜集、整理、提供全县性的基本统计资料，并对国民经济、社会发展和科技进步情况进行统计分析、统计预测、预警和统计监督，向县委县政府及有关部门提供咨询建议，积极开展与其他县市区社会经济发展情况的横向对比分析研究。</w:t>
      </w:r>
    </w:p>
    <w:p>
      <w:pPr>
        <w:ind w:firstLine="800" w:firstLineChars="250"/>
        <w:rPr>
          <w:rFonts w:hint="eastAsia" w:ascii="仿宋" w:hAnsi="仿宋" w:eastAsia="仿宋"/>
          <w:sz w:val="32"/>
          <w:szCs w:val="32"/>
        </w:rPr>
      </w:pPr>
      <w:r>
        <w:rPr>
          <w:rFonts w:hint="eastAsia" w:ascii="仿宋" w:hAnsi="仿宋" w:eastAsia="仿宋"/>
          <w:sz w:val="32"/>
          <w:szCs w:val="32"/>
        </w:rPr>
        <w:t>5.统一核定、管理、公布、出版全县性的基本统计资料，定期发布全县国民经济和社会发展情况的统计公报，审核、管理经济和社会综合评价活动。规划、协调全县社会经济统计信息咨询服务市场。参与政府组织的国民经济和社会发展情况考评考核。</w:t>
      </w:r>
    </w:p>
    <w:p>
      <w:pPr>
        <w:ind w:firstLine="800" w:firstLineChars="250"/>
        <w:rPr>
          <w:rFonts w:hint="eastAsia" w:ascii="仿宋" w:hAnsi="仿宋" w:eastAsia="仿宋"/>
          <w:sz w:val="32"/>
          <w:szCs w:val="32"/>
        </w:rPr>
      </w:pPr>
      <w:r>
        <w:rPr>
          <w:rFonts w:hint="eastAsia" w:ascii="仿宋" w:hAnsi="仿宋" w:eastAsia="仿宋"/>
          <w:sz w:val="32"/>
          <w:szCs w:val="32"/>
        </w:rPr>
        <w:t>6.建立健全和管理全县统计信息自动化系统和全县统计数据库体系，组织和统一管理各镇（街道）和各部门的统计数据网络。</w:t>
      </w:r>
    </w:p>
    <w:p>
      <w:pPr>
        <w:ind w:firstLine="800" w:firstLineChars="250"/>
        <w:rPr>
          <w:rFonts w:hint="eastAsia" w:ascii="仿宋" w:hAnsi="仿宋" w:eastAsia="仿宋"/>
          <w:sz w:val="32"/>
          <w:szCs w:val="32"/>
        </w:rPr>
      </w:pPr>
      <w:r>
        <w:rPr>
          <w:rFonts w:hint="eastAsia" w:ascii="仿宋" w:hAnsi="仿宋" w:eastAsia="仿宋"/>
          <w:sz w:val="32"/>
          <w:szCs w:val="32"/>
        </w:rPr>
        <w:t>7.领导和管理泸县普查中心、泸县社情民意调查中心，泸县大数据中心、泸县统计执法监督局。组织指导全县统计科研、统计教育、统计干部培训、统计咨询服务和统计资料的出版发行工作。</w:t>
      </w:r>
    </w:p>
    <w:p>
      <w:pPr>
        <w:ind w:firstLine="800" w:firstLineChars="250"/>
        <w:rPr>
          <w:rFonts w:hint="eastAsia" w:ascii="仿宋" w:hAnsi="仿宋" w:eastAsia="仿宋"/>
          <w:sz w:val="32"/>
          <w:szCs w:val="32"/>
        </w:rPr>
      </w:pPr>
      <w:r>
        <w:rPr>
          <w:rFonts w:hint="eastAsia" w:ascii="仿宋" w:hAnsi="仿宋" w:eastAsia="仿宋"/>
          <w:sz w:val="32"/>
          <w:szCs w:val="32"/>
        </w:rPr>
        <w:t>8.完成局机关党建工作、党风廉政建设和精神文明建设工作。承办县政府交办的其他事项。</w:t>
      </w:r>
    </w:p>
    <w:p>
      <w:pPr>
        <w:pStyle w:val="3"/>
        <w:rPr>
          <w:rStyle w:val="30"/>
          <w:b w:val="0"/>
          <w:bCs w:val="0"/>
        </w:rPr>
      </w:pPr>
      <w:bookmarkStart w:id="20" w:name="_Toc15396601"/>
      <w:bookmarkStart w:id="21" w:name="_Toc15377200"/>
      <w:bookmarkStart w:id="22" w:name="_Toc739712430"/>
      <w:bookmarkStart w:id="23" w:name="_Toc208126697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20"/>
      <w:bookmarkEnd w:id="21"/>
      <w:bookmarkEnd w:id="22"/>
      <w:bookmarkEnd w:id="23"/>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泸县统计局是一级预算单位，属行政单位，下属二级单位2个，其中：参照公务员法管理的事业单位1个，是泸县普查中心；其他事业单位1个，是泸县大数据中心。</w:t>
      </w:r>
    </w:p>
    <w:p>
      <w:pPr>
        <w:widowControl/>
        <w:jc w:val="left"/>
        <w:rPr>
          <w:rFonts w:ascii="仿宋" w:hAnsi="仿宋" w:eastAsia="仿宋"/>
          <w:kern w:val="0"/>
          <w:sz w:val="32"/>
          <w:szCs w:val="32"/>
        </w:rPr>
      </w:pPr>
      <w:r>
        <w:rPr>
          <w:rFonts w:hint="eastAsia" w:ascii="仿宋" w:hAnsi="仿宋" w:eastAsia="仿宋"/>
          <w:sz w:val="32"/>
          <w:szCs w:val="32"/>
        </w:rPr>
        <w:t>泸县统计局核定总编制32名，其中：行政编制11名，参公编制16名，事业编制5名。在职人员总数3</w:t>
      </w:r>
      <w:r>
        <w:rPr>
          <w:rFonts w:hint="default" w:ascii="仿宋" w:hAnsi="仿宋" w:eastAsia="仿宋"/>
          <w:sz w:val="32"/>
          <w:szCs w:val="32"/>
          <w:lang w:val="en-US"/>
        </w:rPr>
        <w:t>1</w:t>
      </w:r>
      <w:r>
        <w:rPr>
          <w:rFonts w:hint="eastAsia" w:ascii="仿宋" w:hAnsi="仿宋" w:eastAsia="仿宋"/>
          <w:sz w:val="32"/>
          <w:szCs w:val="32"/>
        </w:rPr>
        <w:t>人，其中：行政人员1</w:t>
      </w:r>
      <w:r>
        <w:rPr>
          <w:rFonts w:hint="default" w:ascii="仿宋" w:hAnsi="仿宋" w:eastAsia="仿宋"/>
          <w:sz w:val="32"/>
          <w:szCs w:val="32"/>
          <w:lang w:val="en-US"/>
        </w:rPr>
        <w:t>3</w:t>
      </w:r>
      <w:r>
        <w:rPr>
          <w:rFonts w:hint="eastAsia" w:ascii="仿宋" w:hAnsi="仿宋" w:eastAsia="仿宋"/>
          <w:sz w:val="32"/>
          <w:szCs w:val="32"/>
        </w:rPr>
        <w:t>人，参公人员1</w:t>
      </w:r>
      <w:r>
        <w:rPr>
          <w:rFonts w:hint="default" w:ascii="仿宋" w:hAnsi="仿宋" w:eastAsia="仿宋"/>
          <w:sz w:val="32"/>
          <w:szCs w:val="32"/>
          <w:lang w:val="en-US"/>
        </w:rPr>
        <w:t>4</w:t>
      </w:r>
      <w:r>
        <w:rPr>
          <w:rFonts w:hint="eastAsia" w:ascii="仿宋" w:hAnsi="仿宋" w:eastAsia="仿宋"/>
          <w:sz w:val="32"/>
          <w:szCs w:val="32"/>
        </w:rPr>
        <w:t>人，事业人员</w:t>
      </w:r>
      <w:r>
        <w:rPr>
          <w:rFonts w:hint="default" w:ascii="仿宋" w:hAnsi="仿宋" w:eastAsia="仿宋"/>
          <w:sz w:val="32"/>
          <w:szCs w:val="32"/>
          <w:lang w:val="en-US"/>
        </w:rPr>
        <w:t>4</w:t>
      </w:r>
      <w:r>
        <w:rPr>
          <w:rFonts w:hint="eastAsia" w:ascii="仿宋" w:hAnsi="仿宋" w:eastAsia="仿宋"/>
          <w:sz w:val="32"/>
          <w:szCs w:val="32"/>
        </w:rPr>
        <w:t>人。</w:t>
      </w:r>
      <w:r>
        <w:rPr>
          <w:rFonts w:ascii="仿宋" w:hAnsi="仿宋" w:eastAsia="仿宋"/>
          <w:sz w:val="32"/>
          <w:szCs w:val="32"/>
        </w:rPr>
        <w:br w:type="page"/>
      </w:r>
    </w:p>
    <w:p>
      <w:pPr>
        <w:pStyle w:val="2"/>
        <w:ind w:right="440"/>
        <w:jc w:val="center"/>
        <w:rPr>
          <w:rStyle w:val="29"/>
          <w:rFonts w:ascii="黑体" w:hAnsi="黑体" w:eastAsia="黑体"/>
          <w:b w:val="0"/>
          <w:bCs/>
        </w:rPr>
      </w:pPr>
      <w:bookmarkStart w:id="24" w:name="_Toc15396602"/>
      <w:bookmarkStart w:id="25" w:name="_Toc15377204"/>
      <w:bookmarkStart w:id="26" w:name="_Toc1383760100"/>
      <w:bookmarkStart w:id="27" w:name="_Toc857535992"/>
      <w:r>
        <w:rPr>
          <w:rFonts w:hint="eastAsia" w:ascii="黑体" w:hAnsi="黑体" w:eastAsia="黑体"/>
          <w:b w:val="0"/>
        </w:rPr>
        <w:t>第二部分 2023年度</w:t>
      </w:r>
      <w:r>
        <w:rPr>
          <w:rStyle w:val="29"/>
          <w:rFonts w:hint="eastAsia" w:ascii="黑体" w:hAnsi="黑体" w:eastAsia="黑体"/>
          <w:b w:val="0"/>
          <w:bCs/>
        </w:rPr>
        <w:t>部门决算情况说明</w:t>
      </w:r>
      <w:bookmarkEnd w:id="24"/>
      <w:bookmarkEnd w:id="25"/>
      <w:bookmarkEnd w:id="26"/>
      <w:bookmarkEnd w:id="27"/>
    </w:p>
    <w:p/>
    <w:p>
      <w:pPr>
        <w:pStyle w:val="28"/>
        <w:numPr>
          <w:ilvl w:val="0"/>
          <w:numId w:val="2"/>
        </w:numPr>
        <w:spacing w:line="600" w:lineRule="exact"/>
        <w:ind w:firstLineChars="0"/>
        <w:outlineLvl w:val="1"/>
        <w:rPr>
          <w:rStyle w:val="30"/>
          <w:rFonts w:ascii="黑体" w:hAnsi="黑体" w:eastAsia="黑体"/>
          <w:b w:val="0"/>
        </w:rPr>
      </w:pPr>
      <w:bookmarkStart w:id="28" w:name="_Toc15396603"/>
      <w:bookmarkStart w:id="29" w:name="_Toc15377205"/>
      <w:bookmarkStart w:id="30" w:name="_Toc178003218"/>
      <w:bookmarkStart w:id="31" w:name="_Toc1829407287"/>
      <w:r>
        <w:rPr>
          <w:rFonts w:hint="eastAsia" w:ascii="黑体" w:hAnsi="黑体" w:eastAsia="黑体"/>
          <w:sz w:val="32"/>
          <w:szCs w:val="32"/>
        </w:rPr>
        <w:t>收</w:t>
      </w:r>
      <w:r>
        <w:rPr>
          <w:rStyle w:val="30"/>
          <w:rFonts w:hint="eastAsia" w:ascii="黑体" w:hAnsi="黑体" w:eastAsia="黑体"/>
          <w:b w:val="0"/>
        </w:rPr>
        <w:t>入支出决算总体情况说明</w:t>
      </w:r>
      <w:bookmarkEnd w:id="28"/>
      <w:bookmarkEnd w:id="29"/>
      <w:bookmarkEnd w:id="30"/>
      <w:bookmarkEnd w:id="31"/>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961.32</w:t>
      </w:r>
      <w:r>
        <w:rPr>
          <w:rFonts w:hint="eastAsia" w:ascii="仿宋" w:hAnsi="仿宋" w:eastAsia="仿宋"/>
          <w:sz w:val="32"/>
          <w:szCs w:val="32"/>
        </w:rPr>
        <w:t>万元。与2022年度相比，收、支总计各减少</w:t>
      </w:r>
      <w:r>
        <w:rPr>
          <w:rFonts w:hint="default" w:ascii="仿宋" w:hAnsi="仿宋" w:eastAsia="仿宋"/>
          <w:sz w:val="32"/>
          <w:szCs w:val="32"/>
          <w:lang w:val="en-US"/>
        </w:rPr>
        <w:t>300.2</w:t>
      </w:r>
      <w:r>
        <w:rPr>
          <w:rFonts w:hint="eastAsia" w:ascii="仿宋" w:hAnsi="仿宋" w:eastAsia="仿宋"/>
          <w:sz w:val="32"/>
          <w:szCs w:val="32"/>
        </w:rPr>
        <w:t>万元，下降</w:t>
      </w:r>
      <w:r>
        <w:rPr>
          <w:rFonts w:hint="default" w:ascii="仿宋" w:hAnsi="仿宋" w:eastAsia="仿宋"/>
          <w:sz w:val="32"/>
          <w:szCs w:val="32"/>
          <w:lang w:val="en-US"/>
        </w:rPr>
        <w:t>23.80</w:t>
      </w:r>
      <w:r>
        <w:rPr>
          <w:rFonts w:ascii="仿宋" w:hAnsi="仿宋" w:eastAsia="仿宋"/>
          <w:sz w:val="32"/>
          <w:szCs w:val="32"/>
        </w:rPr>
        <w:t>%</w:t>
      </w:r>
      <w:r>
        <w:rPr>
          <w:rFonts w:hint="eastAsia" w:ascii="仿宋" w:hAnsi="仿宋" w:eastAsia="仿宋"/>
          <w:sz w:val="32"/>
          <w:szCs w:val="32"/>
        </w:rPr>
        <w:t>。主要变动原因是压减项目经费，项目经费减少。</w:t>
      </w:r>
    </w:p>
    <w:p>
      <w:pPr>
        <w:pStyle w:val="20"/>
        <w:jc w:val="both"/>
        <w:outlineLvl w:val="9"/>
      </w:pPr>
      <w:r>
        <w:drawing>
          <wp:inline distT="0" distB="0" distL="114300" distR="114300">
            <wp:extent cx="5076825" cy="2895600"/>
            <wp:effectExtent l="4445" t="4445" r="5080"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仿宋_GB2312" w:eastAsia="仿宋_GB2312"/>
          <w:sz w:val="32"/>
          <w:szCs w:val="32"/>
        </w:rPr>
      </w:pPr>
    </w:p>
    <w:p>
      <w:pPr>
        <w:pStyle w:val="28"/>
        <w:numPr>
          <w:ilvl w:val="0"/>
          <w:numId w:val="2"/>
        </w:numPr>
        <w:spacing w:line="600" w:lineRule="exact"/>
        <w:ind w:firstLineChars="0"/>
        <w:outlineLvl w:val="1"/>
        <w:rPr>
          <w:rStyle w:val="30"/>
          <w:rFonts w:ascii="黑体" w:hAnsi="黑体" w:eastAsia="黑体"/>
          <w:b w:val="0"/>
        </w:rPr>
      </w:pPr>
      <w:bookmarkStart w:id="32" w:name="_Toc15377206"/>
      <w:bookmarkStart w:id="33" w:name="_Toc15396604"/>
      <w:bookmarkStart w:id="34" w:name="_Toc2012063326"/>
      <w:bookmarkStart w:id="35" w:name="_Toc1405750247"/>
      <w:r>
        <w:rPr>
          <w:rFonts w:hint="eastAsia" w:ascii="黑体" w:hAnsi="黑体" w:eastAsia="黑体"/>
          <w:sz w:val="32"/>
          <w:szCs w:val="32"/>
        </w:rPr>
        <w:t>收</w:t>
      </w:r>
      <w:r>
        <w:rPr>
          <w:rStyle w:val="30"/>
          <w:rFonts w:hint="eastAsia" w:ascii="黑体" w:hAnsi="黑体" w:eastAsia="黑体"/>
          <w:b w:val="0"/>
        </w:rPr>
        <w:t>入决算情况说明</w:t>
      </w:r>
      <w:bookmarkEnd w:id="32"/>
      <w:bookmarkEnd w:id="33"/>
      <w:bookmarkEnd w:id="34"/>
      <w:bookmarkEnd w:id="35"/>
    </w:p>
    <w:p>
      <w:pPr>
        <w:pStyle w:val="28"/>
        <w:numPr>
          <w:ilvl w:val="0"/>
          <w:numId w:val="2"/>
        </w:numPr>
        <w:spacing w:line="600" w:lineRule="exact"/>
        <w:ind w:firstLineChars="0"/>
        <w:outlineLvl w:val="1"/>
        <w:rPr>
          <w:rStyle w:val="30"/>
          <w:rFonts w:ascii="黑体" w:hAnsi="黑体" w:eastAsia="黑体"/>
          <w:b w:val="0"/>
        </w:rPr>
      </w:pPr>
      <w:bookmarkStart w:id="36" w:name="_Toc15377207"/>
      <w:bookmarkStart w:id="37" w:name="_Toc15396605"/>
      <w:bookmarkStart w:id="38" w:name="_Toc116671406"/>
      <w:bookmarkStart w:id="39" w:name="_Toc2103154334"/>
      <w:r>
        <w:rPr>
          <w:rFonts w:hint="eastAsia" w:ascii="黑体" w:hAnsi="黑体" w:eastAsia="黑体"/>
          <w:sz w:val="32"/>
          <w:szCs w:val="32"/>
        </w:rPr>
        <w:t>支</w:t>
      </w:r>
      <w:r>
        <w:rPr>
          <w:rStyle w:val="30"/>
          <w:rFonts w:hint="eastAsia" w:ascii="黑体" w:hAnsi="黑体" w:eastAsia="黑体"/>
          <w:b w:val="0"/>
        </w:rPr>
        <w:t>出决算情况说明</w:t>
      </w:r>
      <w:bookmarkEnd w:id="36"/>
      <w:bookmarkEnd w:id="37"/>
      <w:bookmarkEnd w:id="38"/>
      <w:bookmarkEnd w:id="39"/>
    </w:p>
    <w:p>
      <w:pPr>
        <w:spacing w:line="600" w:lineRule="exact"/>
        <w:ind w:firstLine="640" w:firstLineChars="200"/>
        <w:outlineLvl w:val="1"/>
        <w:rPr>
          <w:rStyle w:val="30"/>
          <w:rFonts w:ascii="黑体" w:hAnsi="黑体" w:eastAsia="黑体"/>
          <w:b w:val="0"/>
        </w:rPr>
      </w:pPr>
      <w:bookmarkStart w:id="40" w:name="_Toc15396606"/>
      <w:bookmarkStart w:id="41" w:name="_Toc15377208"/>
      <w:bookmarkStart w:id="42" w:name="_Toc1410481916"/>
      <w:bookmarkStart w:id="43" w:name="_Toc121741001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40"/>
      <w:bookmarkEnd w:id="41"/>
      <w:bookmarkEnd w:id="42"/>
      <w:bookmarkEnd w:id="43"/>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961.32</w:t>
      </w:r>
      <w:r>
        <w:rPr>
          <w:rFonts w:hint="eastAsia" w:ascii="仿宋" w:hAnsi="仿宋" w:eastAsia="仿宋"/>
          <w:sz w:val="32"/>
          <w:szCs w:val="32"/>
        </w:rPr>
        <w:t>万元。与2022年度相比，财政拨款收、支总计各减少300.2万元，下降</w:t>
      </w:r>
      <w:r>
        <w:rPr>
          <w:rFonts w:hint="default" w:ascii="仿宋" w:hAnsi="仿宋" w:eastAsia="仿宋"/>
          <w:sz w:val="32"/>
          <w:szCs w:val="32"/>
          <w:lang w:val="en-US"/>
        </w:rPr>
        <w:t>23.80</w:t>
      </w:r>
      <w:r>
        <w:rPr>
          <w:rFonts w:ascii="仿宋" w:hAnsi="仿宋" w:eastAsia="仿宋"/>
          <w:sz w:val="32"/>
          <w:szCs w:val="32"/>
        </w:rPr>
        <w:t>%</w:t>
      </w:r>
      <w:r>
        <w:rPr>
          <w:rFonts w:hint="eastAsia" w:ascii="仿宋" w:hAnsi="仿宋" w:eastAsia="仿宋"/>
          <w:sz w:val="32"/>
          <w:szCs w:val="32"/>
        </w:rPr>
        <w:t>。主要变动原因是压减项目经费，项目经费减少</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p>
    <w:p>
      <w:pPr>
        <w:spacing w:line="600" w:lineRule="exact"/>
        <w:ind w:firstLine="420" w:firstLineChars="200"/>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145415</wp:posOffset>
            </wp:positionH>
            <wp:positionV relativeFrom="paragraph">
              <wp:posOffset>77470</wp:posOffset>
            </wp:positionV>
            <wp:extent cx="5015865" cy="2880360"/>
            <wp:effectExtent l="4445" t="4445" r="8890" b="1079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30"/>
          <w:rFonts w:ascii="黑体" w:hAnsi="黑体" w:eastAsia="黑体"/>
          <w:b w:val="0"/>
        </w:rPr>
      </w:pPr>
      <w:bookmarkStart w:id="44" w:name="_Toc15396607"/>
      <w:bookmarkStart w:id="45" w:name="_Toc15377209"/>
      <w:bookmarkStart w:id="46" w:name="_Toc247072348"/>
      <w:bookmarkStart w:id="47" w:name="_Toc9306293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44"/>
      <w:bookmarkEnd w:id="45"/>
      <w:bookmarkEnd w:id="46"/>
      <w:bookmarkEnd w:id="47"/>
    </w:p>
    <w:p>
      <w:pPr>
        <w:spacing w:line="600" w:lineRule="exact"/>
        <w:ind w:firstLine="642" w:firstLineChars="200"/>
        <w:outlineLvl w:val="2"/>
        <w:rPr>
          <w:rFonts w:ascii="仿宋" w:hAnsi="仿宋" w:eastAsia="仿宋"/>
          <w:b/>
          <w:sz w:val="32"/>
          <w:szCs w:val="32"/>
        </w:rPr>
      </w:pPr>
      <w:bookmarkStart w:id="48" w:name="_Toc15377210"/>
      <w:bookmarkStart w:id="49" w:name="_Toc1463267368"/>
      <w:bookmarkStart w:id="50" w:name="_Toc15377211"/>
      <w:r>
        <w:rPr>
          <w:rFonts w:hint="eastAsia" w:ascii="仿宋" w:hAnsi="仿宋" w:eastAsia="仿宋"/>
          <w:b/>
          <w:sz w:val="32"/>
          <w:szCs w:val="32"/>
        </w:rPr>
        <w:t>（一）一般公共预算财政拨款支出决算总体情况</w:t>
      </w:r>
      <w:bookmarkEnd w:id="48"/>
      <w:bookmarkEnd w:id="49"/>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961.32</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。与2022年度相比，一般公共预算财政拨款支出减少300.2万元，下降</w:t>
      </w:r>
      <w:r>
        <w:rPr>
          <w:rFonts w:hint="default" w:ascii="仿宋" w:hAnsi="仿宋" w:eastAsia="仿宋"/>
          <w:sz w:val="32"/>
          <w:szCs w:val="32"/>
          <w:lang w:val="en-US"/>
        </w:rPr>
        <w:t>23.80</w:t>
      </w:r>
      <w:r>
        <w:rPr>
          <w:rFonts w:ascii="仿宋" w:hAnsi="仿宋" w:eastAsia="仿宋"/>
          <w:sz w:val="32"/>
          <w:szCs w:val="32"/>
        </w:rPr>
        <w:t>%</w:t>
      </w:r>
      <w:r>
        <w:rPr>
          <w:rFonts w:hint="eastAsia" w:ascii="仿宋" w:hAnsi="仿宋" w:eastAsia="仿宋"/>
          <w:sz w:val="32"/>
          <w:szCs w:val="32"/>
        </w:rPr>
        <w:t>。主要变动原因是压减项目经费，项目经费减少</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p>
    <w:p>
      <w:pPr>
        <w:pStyle w:val="20"/>
        <w:jc w:val="center"/>
        <w:outlineLvl w:val="9"/>
        <w:rPr>
          <w:rFonts w:ascii="仿宋" w:hAnsi="仿宋" w:eastAsia="仿宋"/>
          <w:sz w:val="32"/>
          <w:szCs w:val="32"/>
        </w:rPr>
      </w:pPr>
      <w:r>
        <w:drawing>
          <wp:inline distT="0" distB="0" distL="114300" distR="114300">
            <wp:extent cx="4914265" cy="3152140"/>
            <wp:effectExtent l="4445" t="4445" r="15240" b="5715"/>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sz w:val="32"/>
          <w:szCs w:val="32"/>
        </w:rPr>
      </w:pPr>
      <w:bookmarkStart w:id="51" w:name="_Toc652814440"/>
      <w:r>
        <w:rPr>
          <w:rFonts w:hint="eastAsia" w:ascii="仿宋" w:hAnsi="仿宋" w:eastAsia="仿宋"/>
          <w:b/>
          <w:sz w:val="32"/>
          <w:szCs w:val="32"/>
        </w:rPr>
        <w:t>（二）一般公共预算财政拨款支出决算结构情况</w:t>
      </w:r>
      <w:bookmarkEnd w:id="50"/>
      <w:bookmarkEnd w:id="51"/>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961.32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852.62万元，占</w:t>
      </w:r>
      <w:r>
        <w:rPr>
          <w:rFonts w:hint="eastAsia" w:ascii="仿宋" w:hAnsi="仿宋" w:eastAsia="仿宋"/>
          <w:sz w:val="32"/>
          <w:szCs w:val="32"/>
          <w:lang w:val="en-US" w:eastAsia="zh-CN"/>
        </w:rPr>
        <w:t>88.69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53.64万元，占</w:t>
      </w:r>
      <w:r>
        <w:rPr>
          <w:rFonts w:hint="eastAsia" w:ascii="仿宋" w:hAnsi="仿宋" w:eastAsia="仿宋"/>
          <w:sz w:val="32"/>
          <w:szCs w:val="32"/>
          <w:lang w:val="en-US" w:eastAsia="zh-CN"/>
        </w:rPr>
        <w:t>5.58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17.79万元，占</w:t>
      </w:r>
      <w:r>
        <w:rPr>
          <w:rFonts w:hint="eastAsia" w:ascii="仿宋" w:hAnsi="仿宋" w:eastAsia="仿宋"/>
          <w:sz w:val="32"/>
          <w:szCs w:val="32"/>
          <w:lang w:val="en-US" w:eastAsia="zh-CN"/>
        </w:rPr>
        <w:t>1.85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37.28万元，占</w:t>
      </w:r>
      <w:r>
        <w:rPr>
          <w:rFonts w:hint="eastAsia" w:ascii="仿宋" w:hAnsi="仿宋" w:eastAsia="仿宋"/>
          <w:sz w:val="32"/>
          <w:szCs w:val="32"/>
          <w:lang w:val="en-US" w:eastAsia="zh-CN"/>
        </w:rPr>
        <w:t>3.88</w:t>
      </w:r>
      <w:r>
        <w:rPr>
          <w:rFonts w:ascii="仿宋" w:hAnsi="仿宋" w:eastAsia="仿宋"/>
          <w:sz w:val="32"/>
          <w:szCs w:val="32"/>
        </w:rPr>
        <w:t>%</w:t>
      </w:r>
      <w:r>
        <w:rPr>
          <w:rFonts w:hint="eastAsia" w:ascii="仿宋" w:hAnsi="仿宋" w:eastAsia="仿宋"/>
          <w:sz w:val="32"/>
          <w:szCs w:val="32"/>
        </w:rPr>
        <w:t>。</w:t>
      </w:r>
    </w:p>
    <w:p>
      <w:r>
        <w:rPr>
          <w:rFonts w:hint="eastAsia"/>
          <w:lang w:val="en-US" w:eastAsia="zh-CN"/>
        </w:rPr>
        <w:t xml:space="preserve">   </w:t>
      </w:r>
      <w:r>
        <w:drawing>
          <wp:inline distT="0" distB="0" distL="114300" distR="114300">
            <wp:extent cx="4968875" cy="2895600"/>
            <wp:effectExtent l="4445" t="4445" r="177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2" w:firstLineChars="200"/>
        <w:outlineLvl w:val="2"/>
        <w:rPr>
          <w:rFonts w:ascii="仿宋" w:hAnsi="仿宋" w:eastAsia="仿宋"/>
          <w:b/>
          <w:sz w:val="32"/>
          <w:szCs w:val="32"/>
        </w:rPr>
      </w:pPr>
      <w:bookmarkStart w:id="52" w:name="_Toc15377212"/>
      <w:bookmarkStart w:id="53" w:name="_Toc782195405"/>
      <w:r>
        <w:rPr>
          <w:rFonts w:hint="eastAsia" w:ascii="仿宋" w:hAnsi="仿宋" w:eastAsia="仿宋"/>
          <w:b/>
          <w:sz w:val="32"/>
          <w:szCs w:val="32"/>
        </w:rPr>
        <w:t>（三）一般公共预算财政拨款支出决算具体情况</w:t>
      </w:r>
      <w:bookmarkEnd w:id="52"/>
      <w:bookmarkEnd w:id="53"/>
    </w:p>
    <w:p>
      <w:pPr>
        <w:tabs>
          <w:tab w:val="right" w:pos="8306"/>
        </w:tabs>
        <w:spacing w:line="600" w:lineRule="exact"/>
        <w:ind w:firstLine="640"/>
        <w:outlineLvl w:val="1"/>
        <w:rPr>
          <w:rStyle w:val="30"/>
        </w:rPr>
      </w:pPr>
      <w:bookmarkStart w:id="54" w:name="_Toc15396608"/>
      <w:bookmarkStart w:id="55" w:name="_Toc15377214"/>
      <w:bookmarkStart w:id="56" w:name="_Toc29167340"/>
      <w:bookmarkStart w:id="57" w:name="_Toc236177685"/>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54"/>
      <w:bookmarkEnd w:id="55"/>
      <w:bookmarkEnd w:id="56"/>
      <w:bookmarkEnd w:id="57"/>
      <w:r>
        <w:rPr>
          <w:rStyle w:val="30"/>
          <w:rFonts w:ascii="黑体" w:hAnsi="黑体" w:eastAsia="黑体"/>
          <w:b w:val="0"/>
        </w:rPr>
        <w:tab/>
      </w:r>
    </w:p>
    <w:p>
      <w:pPr>
        <w:spacing w:line="600" w:lineRule="exact"/>
        <w:ind w:firstLine="645"/>
        <w:rPr>
          <w:rFonts w:ascii="仿宋" w:hAnsi="仿宋" w:eastAsia="仿宋"/>
          <w:sz w:val="32"/>
          <w:szCs w:val="32"/>
        </w:rPr>
      </w:pPr>
      <w:bookmarkStart w:id="58" w:name="_Toc15396609"/>
      <w:bookmarkStart w:id="59" w:name="_Toc15377215"/>
      <w:r>
        <w:rPr>
          <w:rFonts w:hint="eastAsia" w:ascii="仿宋" w:hAnsi="仿宋" w:eastAsia="仿宋"/>
          <w:sz w:val="32"/>
          <w:szCs w:val="32"/>
        </w:rPr>
        <w:t>2023年度一般公共预算财政拨款基本支出</w:t>
      </w:r>
      <w:r>
        <w:rPr>
          <w:rFonts w:ascii="仿宋" w:hAnsi="仿宋" w:eastAsia="仿宋"/>
          <w:b/>
          <w:sz w:val="32"/>
          <w:szCs w:val="32"/>
        </w:rPr>
        <w:t>536.12</w:t>
      </w:r>
      <w:r>
        <w:rPr>
          <w:rFonts w:hint="eastAsia" w:ascii="仿宋" w:hAnsi="仿宋" w:eastAsia="仿宋"/>
          <w:sz w:val="32"/>
          <w:szCs w:val="32"/>
        </w:rPr>
        <w:t>万元，其中：</w:t>
      </w:r>
    </w:p>
    <w:p>
      <w:pPr>
        <w:spacing w:line="600" w:lineRule="exact"/>
        <w:ind w:firstLine="640"/>
        <w:outlineLvl w:val="1"/>
        <w:rPr>
          <w:rStyle w:val="30"/>
          <w:rFonts w:ascii="黑体" w:hAnsi="黑体" w:eastAsia="黑体"/>
          <w:b w:val="0"/>
        </w:rPr>
      </w:pPr>
      <w:bookmarkStart w:id="60" w:name="_Toc26983685"/>
      <w:bookmarkStart w:id="61" w:name="_Toc460715923"/>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58"/>
      <w:bookmarkEnd w:id="59"/>
      <w:bookmarkEnd w:id="60"/>
      <w:bookmarkEnd w:id="61"/>
    </w:p>
    <w:p>
      <w:pPr>
        <w:spacing w:line="600" w:lineRule="exact"/>
        <w:ind w:firstLine="640"/>
        <w:outlineLvl w:val="2"/>
        <w:rPr>
          <w:rFonts w:ascii="仿宋" w:hAnsi="仿宋" w:eastAsia="仿宋"/>
          <w:b/>
          <w:sz w:val="32"/>
          <w:szCs w:val="32"/>
        </w:rPr>
      </w:pPr>
      <w:bookmarkStart w:id="62" w:name="_Toc15377216"/>
      <w:bookmarkStart w:id="63" w:name="_Toc468563821"/>
      <w:bookmarkStart w:id="64" w:name="_Toc15377218"/>
      <w:bookmarkStart w:id="65" w:name="_Toc15396610"/>
      <w:r>
        <w:rPr>
          <w:rFonts w:hint="eastAsia" w:ascii="仿宋" w:hAnsi="仿宋" w:eastAsia="仿宋"/>
          <w:b/>
          <w:sz w:val="32"/>
          <w:szCs w:val="32"/>
        </w:rPr>
        <w:t>（一）“三公”经费财政拨款支出决算总体情况说明</w:t>
      </w:r>
      <w:bookmarkEnd w:id="62"/>
      <w:bookmarkEnd w:id="63"/>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，“三公”经费财政拨款支出</w:t>
      </w:r>
      <w:r>
        <w:rPr>
          <w:rFonts w:hint="eastAsia" w:ascii="仿宋_GB2312" w:eastAsia="仿宋_GB2312"/>
          <w:color w:val="auto"/>
          <w:sz w:val="32"/>
          <w:szCs w:val="32"/>
          <w:highlight w:val="none"/>
        </w:rPr>
        <w:t>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66" w:name="_Toc15377217"/>
      <w:bookmarkStart w:id="67" w:name="_Toc1886877927"/>
      <w:r>
        <w:rPr>
          <w:rFonts w:hint="eastAsia" w:ascii="仿宋" w:hAnsi="仿宋" w:eastAsia="仿宋"/>
          <w:b/>
          <w:sz w:val="32"/>
          <w:szCs w:val="32"/>
        </w:rPr>
        <w:t>（二）“三公”经费财政拨款支出决算具体情况说明</w:t>
      </w:r>
      <w:bookmarkEnd w:id="66"/>
      <w:bookmarkEnd w:id="67"/>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0.8</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0"/>
        <w:outlineLvl w:val="9"/>
        <w:rPr>
          <w:rFonts w:hint="eastAsia" w:ascii="仿宋" w:hAnsi="仿宋" w:eastAsia="仿宋"/>
          <w:sz w:val="32"/>
          <w:szCs w:val="32"/>
        </w:rPr>
      </w:pPr>
      <w:r>
        <w:rPr>
          <w:rFonts w:hint="eastAsia"/>
          <w:lang w:val="en-US" w:eastAsia="zh-CN"/>
        </w:rPr>
        <w:t xml:space="preserve"> </w:t>
      </w:r>
      <w:r>
        <w:drawing>
          <wp:inline distT="0" distB="0" distL="114300" distR="114300">
            <wp:extent cx="5054600" cy="283845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0.8</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0.8</w:t>
      </w:r>
      <w:r>
        <w:rPr>
          <w:rFonts w:hint="eastAsia" w:ascii="仿宋_GB2312" w:eastAsia="仿宋_GB2312"/>
          <w:sz w:val="32"/>
          <w:szCs w:val="32"/>
        </w:rPr>
        <w:t>万元，要用于接待上级检查的用餐费等。国内公务接待</w:t>
      </w:r>
      <w:r>
        <w:rPr>
          <w:rFonts w:hint="eastAsia" w:ascii="仿宋_GB2312" w:eastAsia="仿宋_GB2312"/>
          <w:sz w:val="32"/>
          <w:szCs w:val="32"/>
          <w:lang w:val="en-US" w:eastAsia="zh-CN"/>
        </w:rPr>
        <w:t>10</w:t>
      </w:r>
      <w:r>
        <w:rPr>
          <w:rFonts w:hint="eastAsia" w:ascii="仿宋_GB2312" w:eastAsia="仿宋_GB2312"/>
          <w:sz w:val="32"/>
          <w:szCs w:val="32"/>
        </w:rPr>
        <w:t>批次，</w:t>
      </w:r>
      <w:r>
        <w:rPr>
          <w:rFonts w:hint="eastAsia" w:ascii="仿宋_GB2312" w:eastAsia="仿宋_GB2312"/>
          <w:sz w:val="32"/>
          <w:szCs w:val="32"/>
          <w:lang w:val="en-US" w:eastAsia="zh-CN"/>
        </w:rPr>
        <w:t>75</w:t>
      </w:r>
      <w:r>
        <w:rPr>
          <w:rFonts w:hint="eastAsia" w:ascii="仿宋_GB2312" w:eastAsia="仿宋_GB2312"/>
          <w:sz w:val="32"/>
          <w:szCs w:val="32"/>
        </w:rPr>
        <w:t>人次，共计支出</w:t>
      </w:r>
      <w:r>
        <w:rPr>
          <w:rFonts w:hint="eastAsia" w:ascii="仿宋_GB2312" w:eastAsia="仿宋_GB2312"/>
          <w:sz w:val="32"/>
          <w:szCs w:val="32"/>
          <w:lang w:val="en-US" w:eastAsia="zh-CN"/>
        </w:rPr>
        <w:t>0.8</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eastAsia="zh-CN"/>
        </w:rPr>
        <w:t>餐费</w:t>
      </w:r>
      <w:r>
        <w:rPr>
          <w:rFonts w:hint="eastAsia" w:ascii="仿宋_GB2312" w:eastAsia="仿宋_GB2312"/>
          <w:color w:val="auto"/>
          <w:sz w:val="32"/>
          <w:szCs w:val="32"/>
          <w:highlight w:val="none"/>
          <w:lang w:val="en-US" w:eastAsia="zh-CN"/>
        </w:rPr>
        <w:t>0.8万元</w:t>
      </w:r>
      <w:r>
        <w:rPr>
          <w:rFonts w:hint="eastAsia" w:ascii="仿宋_GB2312" w:eastAsia="仿宋_GB2312"/>
          <w:sz w:val="32"/>
          <w:szCs w:val="32"/>
        </w:rPr>
        <w:t>。</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外事接待0批次，0人次，共计支出0万元。</w:t>
      </w:r>
    </w:p>
    <w:p>
      <w:pPr>
        <w:spacing w:line="600" w:lineRule="exact"/>
        <w:ind w:firstLine="640"/>
        <w:outlineLvl w:val="1"/>
        <w:rPr>
          <w:rStyle w:val="30"/>
          <w:rFonts w:ascii="黑体" w:hAnsi="黑体" w:eastAsia="黑体"/>
        </w:rPr>
      </w:pPr>
      <w:bookmarkStart w:id="68" w:name="_Toc1870050439"/>
      <w:bookmarkStart w:id="69" w:name="_Toc2084387080"/>
      <w:r>
        <w:rPr>
          <w:rFonts w:hint="eastAsia" w:ascii="黑体" w:eastAsia="黑体"/>
          <w:sz w:val="32"/>
          <w:szCs w:val="32"/>
        </w:rPr>
        <w:t>八、</w:t>
      </w:r>
      <w:r>
        <w:rPr>
          <w:rStyle w:val="30"/>
          <w:rFonts w:hint="eastAsia" w:ascii="黑体" w:hAnsi="黑体" w:eastAsia="黑体"/>
          <w:b w:val="0"/>
        </w:rPr>
        <w:t>政府性基金预算支出决算情况说明</w:t>
      </w:r>
      <w:bookmarkEnd w:id="64"/>
      <w:bookmarkEnd w:id="65"/>
      <w:bookmarkEnd w:id="68"/>
      <w:bookmarkEnd w:id="69"/>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70" w:name="_Toc15377219"/>
      <w:bookmarkStart w:id="71" w:name="_Toc15396611"/>
      <w:bookmarkStart w:id="72" w:name="_Toc1381084690"/>
      <w:bookmarkStart w:id="73" w:name="_Toc2083777452"/>
      <w:r>
        <w:rPr>
          <w:rStyle w:val="30"/>
          <w:rFonts w:hint="eastAsia" w:ascii="黑体" w:hAnsi="黑体" w:eastAsia="黑体"/>
          <w:b w:val="0"/>
        </w:rPr>
        <w:t>国有资本经营预算支出决算情况说明</w:t>
      </w:r>
      <w:bookmarkEnd w:id="70"/>
      <w:bookmarkEnd w:id="71"/>
      <w:bookmarkEnd w:id="72"/>
      <w:bookmarkEnd w:id="7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74" w:name="_Toc15377221"/>
      <w:bookmarkStart w:id="75" w:name="_Toc15396612"/>
      <w:bookmarkStart w:id="76" w:name="_Toc627999574"/>
      <w:bookmarkStart w:id="77" w:name="_Toc556457234"/>
      <w:r>
        <w:rPr>
          <w:rStyle w:val="30"/>
          <w:rFonts w:hint="eastAsia" w:ascii="黑体" w:hAnsi="黑体" w:eastAsia="黑体"/>
          <w:b w:val="0"/>
        </w:rPr>
        <w:t>其他重要事项的情况说明</w:t>
      </w:r>
      <w:bookmarkEnd w:id="74"/>
      <w:bookmarkEnd w:id="75"/>
      <w:bookmarkEnd w:id="76"/>
      <w:bookmarkEnd w:id="77"/>
    </w:p>
    <w:p>
      <w:pPr>
        <w:spacing w:line="600" w:lineRule="exact"/>
        <w:ind w:firstLine="642" w:firstLineChars="200"/>
        <w:outlineLvl w:val="2"/>
        <w:rPr>
          <w:rFonts w:ascii="仿宋" w:hAnsi="仿宋" w:eastAsia="仿宋"/>
          <w:sz w:val="32"/>
          <w:szCs w:val="32"/>
        </w:rPr>
      </w:pPr>
      <w:bookmarkStart w:id="78" w:name="_Toc15377222"/>
      <w:bookmarkStart w:id="79" w:name="_Toc1907627216"/>
      <w:r>
        <w:rPr>
          <w:rFonts w:hint="eastAsia" w:ascii="仿宋" w:hAnsi="仿宋" w:eastAsia="仿宋"/>
          <w:b/>
          <w:sz w:val="32"/>
          <w:szCs w:val="32"/>
        </w:rPr>
        <w:t>（一）机关运行经费支出情况</w:t>
      </w:r>
      <w:bookmarkEnd w:id="78"/>
      <w:bookmarkEnd w:id="7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泸县统计局</w:t>
      </w:r>
      <w:r>
        <w:rPr>
          <w:rFonts w:hint="eastAsia" w:ascii="仿宋_GB2312" w:eastAsia="仿宋_GB2312"/>
          <w:sz w:val="32"/>
          <w:szCs w:val="32"/>
        </w:rPr>
        <w:t>机关运行经费支出</w:t>
      </w:r>
      <w:r>
        <w:rPr>
          <w:rFonts w:ascii="仿宋" w:hAnsi="仿宋" w:eastAsia="仿宋"/>
          <w:b/>
          <w:sz w:val="32"/>
          <w:szCs w:val="32"/>
        </w:rPr>
        <w:t>60.42</w:t>
      </w:r>
      <w:r>
        <w:rPr>
          <w:rFonts w:hint="eastAsia" w:ascii="仿宋_GB2312" w:eastAsia="仿宋_GB2312"/>
          <w:sz w:val="32"/>
          <w:szCs w:val="32"/>
        </w:rPr>
        <w:t>万元，比2022年度增加</w:t>
      </w:r>
      <w:r>
        <w:rPr>
          <w:rFonts w:hint="eastAsia" w:ascii="仿宋_GB2312" w:eastAsia="仿宋_GB2312"/>
          <w:sz w:val="32"/>
          <w:szCs w:val="32"/>
          <w:lang w:val="en-US" w:eastAsia="zh-CN"/>
        </w:rPr>
        <w:t>8.08</w:t>
      </w:r>
      <w:r>
        <w:rPr>
          <w:rFonts w:hint="eastAsia" w:ascii="仿宋_GB2312" w:eastAsia="仿宋_GB2312"/>
          <w:sz w:val="32"/>
          <w:szCs w:val="32"/>
        </w:rPr>
        <w:t>万元，增长</w:t>
      </w:r>
      <w:r>
        <w:rPr>
          <w:rFonts w:hint="eastAsia" w:ascii="仿宋_GB2312" w:eastAsia="仿宋_GB2312"/>
          <w:sz w:val="32"/>
          <w:szCs w:val="32"/>
          <w:lang w:val="en-US" w:eastAsia="zh-CN"/>
        </w:rPr>
        <w:t>15.44</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新增加了</w:t>
      </w:r>
      <w:r>
        <w:rPr>
          <w:rFonts w:hint="eastAsia" w:ascii="仿宋_GB2312" w:eastAsia="仿宋_GB2312"/>
          <w:color w:val="auto"/>
          <w:sz w:val="32"/>
          <w:szCs w:val="32"/>
          <w:highlight w:val="none"/>
          <w:lang w:val="en-US" w:eastAsia="zh-CN"/>
        </w:rPr>
        <w:t>1名人员，公用经费增加</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80" w:name="_Toc15377223"/>
      <w:bookmarkStart w:id="81" w:name="_Toc785994647"/>
      <w:r>
        <w:rPr>
          <w:rFonts w:hint="eastAsia" w:ascii="仿宋" w:hAnsi="仿宋" w:eastAsia="仿宋"/>
          <w:b/>
          <w:sz w:val="32"/>
          <w:szCs w:val="32"/>
        </w:rPr>
        <w:t>（二）政府采购支出情况</w:t>
      </w:r>
      <w:bookmarkEnd w:id="80"/>
      <w:bookmarkEnd w:id="8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泸县统计局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82" w:name="_Toc15377224"/>
      <w:bookmarkStart w:id="83" w:name="_Toc1817460196"/>
      <w:r>
        <w:rPr>
          <w:rFonts w:hint="eastAsia" w:ascii="仿宋" w:hAnsi="仿宋" w:eastAsia="仿宋"/>
          <w:b/>
          <w:sz w:val="32"/>
          <w:szCs w:val="32"/>
        </w:rPr>
        <w:t>（三）国有资产占有使用情况</w:t>
      </w:r>
      <w:bookmarkEnd w:id="82"/>
      <w:bookmarkEnd w:id="8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b w:val="0"/>
          <w:bCs w:val="0"/>
          <w:sz w:val="32"/>
          <w:szCs w:val="32"/>
        </w:rPr>
        <w:t>2</w:t>
      </w:r>
      <w:r>
        <w:rPr>
          <w:rFonts w:hint="eastAsia" w:ascii="仿宋_GB2312" w:eastAsia="仿宋_GB2312"/>
          <w:sz w:val="32"/>
          <w:szCs w:val="32"/>
        </w:rPr>
        <w:t>023年12月31日，泸县统计局共有车辆0辆，其中：主要领导干部用车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84" w:name="_Toc534767496"/>
      <w:r>
        <w:rPr>
          <w:rFonts w:hint="eastAsia" w:ascii="仿宋" w:hAnsi="仿宋" w:eastAsia="仿宋"/>
          <w:b/>
          <w:sz w:val="32"/>
          <w:szCs w:val="32"/>
        </w:rPr>
        <w:t>（四）预算绩效管理情况</w:t>
      </w:r>
      <w:bookmarkEnd w:id="84"/>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根据预算绩效管理要求，本单位在2023年度预算编制阶段，组织对2021年“四上企业“及农业规模场统计人员工作补贴</w:t>
      </w:r>
      <w:r>
        <w:rPr>
          <w:rFonts w:hint="eastAsia" w:ascii="仿宋_GB2312" w:eastAsia="仿宋_GB2312"/>
          <w:sz w:val="32"/>
          <w:szCs w:val="32"/>
          <w:lang w:eastAsia="zh-CN"/>
        </w:rPr>
        <w:t>、第五次全国经济普查各级经费补助</w:t>
      </w:r>
      <w:r>
        <w:rPr>
          <w:rFonts w:hint="eastAsia" w:ascii="仿宋_GB2312" w:eastAsia="仿宋_GB2312"/>
          <w:sz w:val="32"/>
          <w:szCs w:val="32"/>
        </w:rPr>
        <w:t>项目等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pStyle w:val="2"/>
        <w:jc w:val="center"/>
        <w:outlineLvl w:val="9"/>
        <w:rPr>
          <w:rFonts w:hint="eastAsia"/>
        </w:rPr>
      </w:pPr>
    </w:p>
    <w:p>
      <w:pPr>
        <w:rPr>
          <w:rFonts w:hint="eastAsia"/>
        </w:rPr>
      </w:pPr>
    </w:p>
    <w:p>
      <w:pPr>
        <w:rPr>
          <w:rFonts w:hint="eastAsia"/>
        </w:rPr>
      </w:pPr>
    </w:p>
    <w:p>
      <w:pPr>
        <w:pStyle w:val="2"/>
        <w:jc w:val="center"/>
      </w:pPr>
      <w:bookmarkStart w:id="85" w:name="_Toc2084042460"/>
      <w:bookmarkStart w:id="86" w:name="_Toc29082624"/>
      <w:r>
        <w:rPr>
          <w:rFonts w:hint="eastAsia"/>
        </w:rPr>
        <w:t>第三部分 名词解释</w:t>
      </w:r>
      <w:bookmarkEnd w:id="85"/>
      <w:bookmarkEnd w:id="86"/>
    </w:p>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7"/>
        <w:spacing w:line="600" w:lineRule="exact"/>
        <w:ind w:firstLine="640" w:firstLineChars="200"/>
        <w:rPr>
          <w:rFonts w:ascii="仿宋_GB2312" w:eastAsia="仿宋_GB2312"/>
          <w:sz w:val="32"/>
          <w:szCs w:val="32"/>
        </w:rPr>
      </w:pPr>
      <w:r>
        <w:rPr>
          <w:rFonts w:hint="eastAsia" w:ascii="仿宋_GB2312" w:eastAsia="仿宋_GB2312"/>
          <w:sz w:val="32"/>
          <w:szCs w:val="32"/>
        </w:rPr>
        <w:t>9.一般公共服务（类）统计信息事务（款）行政运行（项）</w:t>
      </w:r>
      <w:r>
        <w:rPr>
          <w:rFonts w:hint="eastAsia" w:ascii="仿宋_GB2312" w:eastAsia="仿宋_GB2312"/>
          <w:sz w:val="32"/>
          <w:szCs w:val="32"/>
          <w:lang w:eastAsia="zh-CN"/>
        </w:rPr>
        <w:t>：</w:t>
      </w:r>
      <w:r>
        <w:rPr>
          <w:rFonts w:hint="eastAsia" w:ascii="仿宋_GB2312" w:eastAsia="仿宋_GB2312"/>
          <w:sz w:val="32"/>
          <w:szCs w:val="32"/>
        </w:rPr>
        <w:t> 指行政单位（包括实体公务员管理的事业单位）的基本支出。</w:t>
      </w:r>
    </w:p>
    <w:p>
      <w:pPr>
        <w:pStyle w:val="27"/>
        <w:spacing w:line="600" w:lineRule="exact"/>
        <w:ind w:firstLine="640" w:firstLineChars="200"/>
        <w:rPr>
          <w:rFonts w:ascii="仿宋_GB2312" w:eastAsia="仿宋_GB2312"/>
          <w:sz w:val="32"/>
          <w:szCs w:val="32"/>
        </w:rPr>
      </w:pPr>
      <w:r>
        <w:rPr>
          <w:rFonts w:hint="eastAsia" w:ascii="仿宋_GB2312" w:eastAsia="仿宋_GB2312"/>
          <w:sz w:val="32"/>
          <w:szCs w:val="32"/>
        </w:rPr>
        <w:t>10. 一般公共服务（类）统计信息事务（款）一般行政管理事务（项）</w:t>
      </w:r>
      <w:r>
        <w:rPr>
          <w:rFonts w:hint="eastAsia" w:ascii="仿宋_GB2312" w:eastAsia="仿宋_GB2312"/>
          <w:sz w:val="32"/>
          <w:szCs w:val="32"/>
          <w:lang w:eastAsia="zh-CN"/>
        </w:rPr>
        <w:t>：</w:t>
      </w:r>
      <w:r>
        <w:rPr>
          <w:rFonts w:hint="eastAsia" w:ascii="仿宋_GB2312" w:eastAsia="仿宋_GB2312"/>
          <w:sz w:val="32"/>
          <w:szCs w:val="32"/>
        </w:rPr>
        <w:t> 指行政单位（包括实体公务员管理的事业单位）未单独设置项级科目的其他项目支出。</w:t>
      </w:r>
    </w:p>
    <w:p>
      <w:pPr>
        <w:pStyle w:val="14"/>
        <w:widowControl/>
        <w:shd w:val="clear" w:color="auto" w:fill="FFFFFF"/>
        <w:spacing w:line="600" w:lineRule="exact"/>
        <w:ind w:firstLine="640" w:firstLineChars="200"/>
        <w:rPr>
          <w:rFonts w:hint="eastAsia" w:ascii="仿宋_GB2312" w:hAnsi="Calibri" w:cs="仿宋"/>
          <w:color w:val="000000"/>
          <w:sz w:val="32"/>
          <w:szCs w:val="32"/>
        </w:rPr>
      </w:pPr>
      <w:r>
        <w:rPr>
          <w:rFonts w:hint="eastAsia" w:ascii="仿宋_GB2312"/>
          <w:sz w:val="32"/>
          <w:szCs w:val="32"/>
        </w:rPr>
        <w:t>11.一般公共服务（类）统计信息事务（款）专项统计业</w:t>
      </w:r>
      <w:r>
        <w:rPr>
          <w:rFonts w:hint="eastAsia" w:ascii="仿宋_GB2312" w:hAnsi="Calibri" w:cs="仿宋"/>
          <w:color w:val="000000"/>
          <w:sz w:val="32"/>
          <w:szCs w:val="32"/>
        </w:rPr>
        <w:t>务（项）：反映泸县统计局在日常业务之外开展专项统计工作支出，比如乡镇信息、妇女儿童、工业经效、规下工业、个体、工业价格、产值产量调查等</w:t>
      </w:r>
      <w:r>
        <w:rPr>
          <w:rFonts w:ascii="仿宋_GB2312" w:hAnsi="Calibri" w:cs="仿宋"/>
          <w:color w:val="000000"/>
          <w:sz w:val="32"/>
          <w:szCs w:val="32"/>
        </w:rPr>
        <w:t>。</w:t>
      </w:r>
    </w:p>
    <w:p>
      <w:pPr>
        <w:pStyle w:val="2"/>
        <w:numPr>
          <w:ilvl w:val="0"/>
          <w:numId w:val="4"/>
        </w:numPr>
        <w:jc w:val="center"/>
        <w:rPr>
          <w:rFonts w:hint="eastAsia" w:ascii="黑体" w:hAnsi="黑体" w:eastAsia="黑体"/>
          <w:b w:val="0"/>
        </w:rPr>
      </w:pPr>
      <w:bookmarkStart w:id="87" w:name="_Toc1097959993"/>
      <w:bookmarkStart w:id="88" w:name="_Toc1684698565"/>
      <w:r>
        <w:rPr>
          <w:rFonts w:hint="eastAsia" w:ascii="黑体" w:hAnsi="黑体" w:eastAsia="黑体"/>
          <w:b w:val="0"/>
        </w:rPr>
        <w:t>附件</w:t>
      </w:r>
      <w:bookmarkEnd w:id="87"/>
      <w:bookmarkEnd w:id="88"/>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
      <w:pPr>
        <w:outlineLvl w:val="1"/>
        <w:rPr>
          <w:rFonts w:ascii="黑体" w:hAnsi="黑体" w:eastAsia="黑体"/>
          <w:sz w:val="32"/>
          <w:szCs w:val="32"/>
        </w:rPr>
      </w:pPr>
      <w:bookmarkStart w:id="89" w:name="_Toc1759614946"/>
      <w:bookmarkStart w:id="90" w:name="_Toc1557267874"/>
      <w:r>
        <w:rPr>
          <w:rFonts w:hint="eastAsia" w:ascii="黑体" w:hAnsi="黑体" w:eastAsia="黑体"/>
          <w:sz w:val="32"/>
          <w:szCs w:val="32"/>
        </w:rPr>
        <w:t>附件1</w:t>
      </w:r>
      <w:bookmarkEnd w:id="89"/>
      <w:bookmarkEnd w:id="90"/>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2023年</w:t>
      </w:r>
      <w:r>
        <w:rPr>
          <w:rFonts w:hint="eastAsia" w:eastAsia="方正小标宋简体" w:cs="Times New Roman"/>
          <w:b w:val="0"/>
          <w:bCs/>
          <w:sz w:val="44"/>
          <w:szCs w:val="44"/>
          <w:highlight w:val="none"/>
          <w:shd w:val="clear" w:color="auto" w:fill="FFFFFF"/>
          <w:lang w:eastAsia="zh-CN"/>
        </w:rPr>
        <w:t>泸县统计</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w:t>
      </w:r>
      <w:r>
        <w:rPr>
          <w:rFonts w:hint="default" w:ascii="仿宋_GB2312" w:hAnsi="Calibri" w:eastAsia="仿宋_GB2312" w:cs="仿宋"/>
          <w:b/>
          <w:bCs/>
          <w:color w:val="000000"/>
          <w:kern w:val="0"/>
          <w:sz w:val="32"/>
          <w:szCs w:val="32"/>
          <w:lang w:val="zh-CN" w:eastAsia="zh-CN" w:bidi="ar-SA"/>
        </w:rPr>
        <w:t>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w:t>
      </w:r>
      <w:r>
        <w:rPr>
          <w:rFonts w:hint="default" w:ascii="仿宋_GB2312" w:hAnsi="Calibri" w:eastAsia="仿宋_GB2312" w:cs="仿宋"/>
          <w:b/>
          <w:bCs/>
          <w:color w:val="000000"/>
          <w:kern w:val="0"/>
          <w:sz w:val="32"/>
          <w:szCs w:val="32"/>
          <w:lang w:val="zh-CN" w:eastAsia="zh-CN" w:bidi="ar-SA"/>
        </w:rPr>
        <w:t>机构组成。</w:t>
      </w:r>
      <w:r>
        <w:rPr>
          <w:rFonts w:hint="eastAsia" w:ascii="仿宋_GB2312" w:hAnsi="Calibri" w:eastAsia="仿宋_GB2312" w:cs="仿宋"/>
          <w:color w:val="000000"/>
          <w:kern w:val="0"/>
          <w:sz w:val="32"/>
          <w:szCs w:val="32"/>
          <w:lang w:val="en-US" w:eastAsia="zh-CN" w:bidi="ar-SA"/>
        </w:rPr>
        <w:t>泸县统计局是一级预算单位，属行政单位，下属二级单位2个，其中：参公管理事业单位1个，事业单位1个。</w:t>
      </w:r>
    </w:p>
    <w:p>
      <w:pPr>
        <w:spacing w:line="578" w:lineRule="exact"/>
        <w:ind w:firstLine="642" w:firstLineChars="200"/>
        <w:jc w:val="left"/>
        <w:rPr>
          <w:rFonts w:hint="eastAsia" w:ascii="仿宋_GB2312" w:hAnsi="Calibri" w:eastAsia="仿宋_GB2312" w:cs="仿宋"/>
          <w:b/>
          <w:bCs/>
          <w:color w:val="000000"/>
          <w:kern w:val="0"/>
          <w:sz w:val="32"/>
          <w:szCs w:val="32"/>
          <w:lang w:val="zh-CN" w:eastAsia="zh-CN" w:bidi="ar-SA"/>
        </w:rPr>
      </w:pPr>
      <w:r>
        <w:rPr>
          <w:rFonts w:hint="default" w:ascii="仿宋_GB2312" w:hAnsi="Calibri" w:eastAsia="仿宋_GB2312" w:cs="仿宋"/>
          <w:b/>
          <w:bCs/>
          <w:color w:val="000000"/>
          <w:kern w:val="0"/>
          <w:sz w:val="32"/>
          <w:szCs w:val="32"/>
          <w:lang w:val="zh-CN" w:eastAsia="zh-CN" w:bidi="ar-SA"/>
        </w:rPr>
        <w:t>（二）机构职能</w:t>
      </w:r>
      <w:r>
        <w:rPr>
          <w:rFonts w:hint="eastAsia" w:ascii="仿宋_GB2312" w:hAnsi="Calibri" w:eastAsia="仿宋_GB2312" w:cs="仿宋"/>
          <w:b/>
          <w:bCs/>
          <w:color w:val="000000"/>
          <w:kern w:val="0"/>
          <w:sz w:val="32"/>
          <w:szCs w:val="32"/>
          <w:lang w:val="zh-CN" w:eastAsia="zh-CN" w:bidi="ar-SA"/>
        </w:rPr>
        <w:t>。</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依照国家的法律法规、政策、方针，制定全县性的统计工作规范性文件，统计现代化建设规划和统计调查计划，组织领导和监督检查全县各镇（街道）和各部门的统计和国民经济核算等工作，准确及时反映地方社会经济发展的基本情况。监督检查统计法律法规的实施，依法对违反统计法律法规的单位和个人进行查处。</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根据县级宏观管理和科学决策的要求，建立健全全县国民经济核算体系和统计指标体系，制定和管理全县统一的基本情况报表制度；制定或与有关部门共同制定全县统计标准，审定部门自制的统计报表。审查各乡镇政府和县政府各部门及社会团体的统计调查计划、调查方案、审批县内商业性统计调查活动，组织全县统计报表的管理工作。</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3.在县政府的统一领导下，会同有关部门组织完成十年一周期的人口、农业普查和五年一周期的经济普查等重大国情国力普查和专项调查。</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搜集、整理、提供全县性的基本统计资料，并对国民经济、社会发展和科技进步情况进行统计分析、统计预测、预警和统计监督，向县委县政府及有关部门提供咨询建议，积极开展与其他县市区社会经济发展情况的横向对比分析研究。</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统一核定、管理、公布、出版全县性的基本统计资料，定期发布全县国民经济和社会发展情况的统计公报，审核、管理经济和社会综合评价活动。规划、协调全县社会经济统计信息咨询服务市场。参与政府组织的国民经济和社会发展情况考评考核。</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6.建立健全和管理全县统计信息自动化系统和全县统计数据库体系，组织和统一管理各镇（街道）和各部门的统计数据网络。</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7.领导和管理泸县普查中心、泸县社情民意调查中心，泸县大数据中心、泸县统计执法监督局。组织指导全县统计科研、统计教育、统计干部培训、统计咨询服务和统计资料的出版发行工作。</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8.完成局机关党建工作、党风廉政建设和精神文明建设工作。承办县政府交办的其他事项。</w:t>
      </w:r>
    </w:p>
    <w:p>
      <w:pPr>
        <w:pStyle w:val="6"/>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74" w:firstLineChars="210"/>
        <w:textAlignment w:val="auto"/>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zh-CN" w:eastAsia="zh-CN" w:bidi="ar-SA"/>
        </w:rPr>
        <w:t>）人员概况</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泸县统计局核定总编制32名，其中：行政编制11名，参公编制16名，事业编制5名。在职人员总数31人，其中：行政人员12人，参公人员15人，事业人员4人。</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default" w:ascii="仿宋_GB2312" w:hAnsi="Calibri" w:eastAsia="仿宋_GB2312" w:cs="仿宋"/>
          <w:b/>
          <w:bCs/>
          <w:color w:val="000000"/>
          <w:kern w:val="0"/>
          <w:sz w:val="32"/>
          <w:szCs w:val="32"/>
          <w:lang w:val="en-US" w:eastAsia="zh-CN" w:bidi="ar-SA"/>
        </w:rPr>
        <w:t>二、部门资金收支情况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（一）</w:t>
      </w:r>
      <w:r>
        <w:rPr>
          <w:rFonts w:hint="eastAsia" w:ascii="仿宋_GB2312" w:hAnsi="Calibri" w:eastAsia="仿宋_GB2312" w:cs="仿宋"/>
          <w:b/>
          <w:bCs/>
          <w:color w:val="000000"/>
          <w:kern w:val="0"/>
          <w:sz w:val="32"/>
          <w:szCs w:val="32"/>
          <w:lang w:val="zh-CN" w:eastAsia="zh-CN" w:bidi="ar-SA"/>
        </w:rPr>
        <w:t>收入情况</w:t>
      </w: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泸县统计部门2023年初预算收入总计为575.05万元，后追加预算收入386.27万元，2023年年底决算财政拨款收入961.32万元；2023年无年初结转结余。</w:t>
      </w:r>
    </w:p>
    <w:p>
      <w:pPr>
        <w:widowControl/>
        <w:adjustRightInd w:val="0"/>
        <w:snapToGrid w:val="0"/>
        <w:spacing w:line="520" w:lineRule="exact"/>
        <w:ind w:firstLine="642" w:firstLineChars="200"/>
        <w:jc w:val="left"/>
        <w:rPr>
          <w:rFonts w:hint="eastAsia" w:ascii="仿宋_GB2312" w:hAnsi="Calibri" w:eastAsia="仿宋_GB2312" w:cs="仿宋"/>
          <w:color w:val="000000"/>
          <w:kern w:val="0"/>
          <w:sz w:val="32"/>
          <w:szCs w:val="32"/>
          <w:lang w:val="zh-CN" w:eastAsia="zh-CN" w:bidi="ar-SA"/>
        </w:rPr>
      </w:pP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二</w:t>
      </w: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支出情况</w:t>
      </w: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泸县统计部门2023年年初预算支出575.05万元，主要分为基本支出477.65万元（包括人员经费、日常公用经费）和项目支出97.40万元。2023年全年支出961.32万元，其中：基本支出536.12万元（人员经费支475.71万元，日常公用支出60.42万元），项目支出425.2万元。</w:t>
      </w:r>
    </w:p>
    <w:p>
      <w:pPr>
        <w:widowControl/>
        <w:adjustRightInd w:val="0"/>
        <w:snapToGrid w:val="0"/>
        <w:spacing w:line="520" w:lineRule="exact"/>
        <w:ind w:firstLine="642" w:firstLineChars="200"/>
        <w:jc w:val="left"/>
        <w:rPr>
          <w:rFonts w:hint="default" w:ascii="仿宋_GB2312" w:hAnsi="Calibri" w:eastAsia="仿宋_GB2312" w:cs="仿宋"/>
          <w:color w:val="000000"/>
          <w:kern w:val="0"/>
          <w:sz w:val="32"/>
          <w:szCs w:val="32"/>
          <w:lang w:val="zh-CN" w:eastAsia="zh-CN" w:bidi="ar-SA"/>
        </w:rPr>
      </w:pP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zh-CN" w:eastAsia="zh-CN" w:bidi="ar-SA"/>
        </w:rPr>
        <w:t>）</w:t>
      </w:r>
      <w:r>
        <w:rPr>
          <w:rFonts w:hint="default" w:ascii="仿宋_GB2312" w:hAnsi="Calibri" w:eastAsia="仿宋_GB2312" w:cs="仿宋"/>
          <w:b/>
          <w:bCs/>
          <w:color w:val="000000"/>
          <w:kern w:val="0"/>
          <w:sz w:val="32"/>
          <w:szCs w:val="32"/>
          <w:lang w:val="en-US" w:eastAsia="zh-CN" w:bidi="ar-SA"/>
        </w:rPr>
        <w:t>结余分配和结转结余情况</w:t>
      </w:r>
      <w:r>
        <w:rPr>
          <w:rFonts w:hint="eastAsia" w:ascii="仿宋_GB2312" w:hAnsi="Calibri" w:eastAsia="仿宋_GB2312" w:cs="仿宋"/>
          <w:b/>
          <w:bCs/>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泸县统计部门2023年决算报表年终结转资金0万元。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default" w:ascii="仿宋_GB2312" w:hAnsi="Calibri" w:eastAsia="仿宋_GB2312" w:cs="仿宋"/>
          <w:b/>
          <w:bCs/>
          <w:color w:val="000000"/>
          <w:kern w:val="0"/>
          <w:sz w:val="32"/>
          <w:szCs w:val="32"/>
          <w:lang w:val="en-US" w:eastAsia="zh-CN" w:bidi="ar-SA"/>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zh-CN" w:eastAsia="zh-CN" w:bidi="ar-SA"/>
        </w:rPr>
      </w:pPr>
      <w:r>
        <w:rPr>
          <w:rFonts w:hint="default" w:ascii="仿宋_GB2312" w:hAnsi="Calibri" w:eastAsia="仿宋_GB2312" w:cs="仿宋"/>
          <w:b/>
          <w:bCs/>
          <w:color w:val="000000"/>
          <w:kern w:val="0"/>
          <w:sz w:val="32"/>
          <w:szCs w:val="32"/>
          <w:lang w:val="zh-CN" w:eastAsia="zh-CN" w:bidi="ar-SA"/>
        </w:rPr>
        <w:t>（一）</w:t>
      </w:r>
      <w:r>
        <w:rPr>
          <w:rFonts w:hint="eastAsia" w:ascii="仿宋_GB2312" w:hAnsi="Calibri" w:eastAsia="仿宋_GB2312" w:cs="仿宋"/>
          <w:b/>
          <w:bCs/>
          <w:color w:val="000000"/>
          <w:kern w:val="0"/>
          <w:sz w:val="32"/>
          <w:szCs w:val="32"/>
          <w:lang w:val="zh-CN" w:eastAsia="zh-CN" w:bidi="ar-SA"/>
        </w:rPr>
        <w:t>部门预算</w:t>
      </w:r>
      <w:r>
        <w:rPr>
          <w:rFonts w:hint="default" w:ascii="仿宋_GB2312" w:hAnsi="Calibri" w:eastAsia="仿宋_GB2312" w:cs="仿宋"/>
          <w:b/>
          <w:bCs/>
          <w:color w:val="000000"/>
          <w:kern w:val="0"/>
          <w:sz w:val="32"/>
          <w:szCs w:val="32"/>
          <w:lang w:val="zh-CN" w:eastAsia="zh-CN" w:bidi="ar-SA"/>
        </w:rPr>
        <w:t>总体绩效分析。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1.</w:t>
      </w:r>
      <w:r>
        <w:rPr>
          <w:rFonts w:hint="eastAsia" w:ascii="仿宋_GB2312" w:hAnsi="Calibri" w:eastAsia="仿宋_GB2312" w:cs="仿宋"/>
          <w:b/>
          <w:bCs/>
          <w:color w:val="000000"/>
          <w:kern w:val="0"/>
          <w:sz w:val="32"/>
          <w:szCs w:val="32"/>
          <w:lang w:val="zh-CN" w:eastAsia="zh-CN" w:bidi="ar-SA"/>
        </w:rPr>
        <w:t>履职效能。</w:t>
      </w:r>
      <w:r>
        <w:rPr>
          <w:rFonts w:hint="eastAsia" w:ascii="仿宋_GB2312" w:hAnsi="Calibri" w:eastAsia="仿宋_GB2312" w:cs="仿宋"/>
          <w:color w:val="000000"/>
          <w:kern w:val="0"/>
          <w:sz w:val="32"/>
          <w:szCs w:val="32"/>
          <w:lang w:val="zh-CN" w:eastAsia="zh-CN" w:bidi="ar-SA"/>
        </w:rPr>
        <w:t>统计抽样调查项目主要是为了完成上级主管部门确定的统计抽样调查项目，统计调查结果为县委县政府决策提供科学依据；办公用品采购属于经常性项目预算，</w:t>
      </w:r>
      <w:r>
        <w:rPr>
          <w:rFonts w:hint="eastAsia" w:ascii="仿宋_GB2312" w:hAnsi="Calibri" w:eastAsia="仿宋_GB2312" w:cs="仿宋"/>
          <w:color w:val="000000"/>
          <w:kern w:val="0"/>
          <w:sz w:val="32"/>
          <w:szCs w:val="32"/>
          <w:lang w:val="en-US" w:eastAsia="zh-CN" w:bidi="ar-SA"/>
        </w:rPr>
        <w:t>主要用于更新办公设备，以提高工作效率，保障机关正常运行；专项统计业务项目是了解经济发展趋势，为各级领导决策提供科学依据，收集民情，征集民意，为解民忧搭建平台，有效提升县委县政府科学化决策能力。以上三类项目均决策程序合法、规划论证有理有据、资金投向正确；项目管理规范，资金分配科学合理，绩效目标完整准确；项目实施进度合理，预算执行率达到预期，资金到位率、使用情况良好；项目按时保质保量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2.</w:t>
      </w:r>
      <w:r>
        <w:rPr>
          <w:rFonts w:hint="default" w:ascii="仿宋_GB2312" w:hAnsi="Calibri" w:eastAsia="仿宋_GB2312" w:cs="仿宋"/>
          <w:b/>
          <w:bCs/>
          <w:color w:val="000000"/>
          <w:kern w:val="0"/>
          <w:sz w:val="32"/>
          <w:szCs w:val="32"/>
          <w:lang w:val="zh-CN" w:eastAsia="zh-CN" w:bidi="ar-SA"/>
        </w:rPr>
        <w:t>预算管理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2023</w:t>
      </w:r>
      <w:r>
        <w:rPr>
          <w:rFonts w:hint="eastAsia" w:ascii="仿宋_GB2312" w:hAnsi="Calibri" w:eastAsia="仿宋_GB2312" w:cs="仿宋"/>
          <w:color w:val="000000"/>
          <w:kern w:val="0"/>
          <w:sz w:val="32"/>
          <w:szCs w:val="32"/>
          <w:lang w:val="zh-CN" w:eastAsia="zh-CN" w:bidi="ar-SA"/>
        </w:rPr>
        <w:t>年度统计部门严格按照年初预算编制方案编制预算，因追加预算较多，财政拨款预算存在一定的偏离度，资产配置和政府采购按预算执行。部门不涉及单位收入统筹事项。预算支出执行进度较好，有两笔预警支出，预警金额占总金额比例为</w:t>
      </w:r>
      <w:r>
        <w:rPr>
          <w:rFonts w:hint="eastAsia" w:ascii="仿宋_GB2312" w:hAnsi="Calibri" w:eastAsia="仿宋_GB2312" w:cs="仿宋"/>
          <w:color w:val="000000"/>
          <w:kern w:val="0"/>
          <w:sz w:val="32"/>
          <w:szCs w:val="32"/>
          <w:lang w:val="en-US" w:eastAsia="zh-CN" w:bidi="ar-SA"/>
        </w:rPr>
        <w:t>2%，无</w:t>
      </w:r>
      <w:r>
        <w:rPr>
          <w:rFonts w:hint="eastAsia" w:ascii="仿宋_GB2312" w:hAnsi="Calibri" w:eastAsia="仿宋_GB2312" w:cs="仿宋"/>
          <w:color w:val="000000"/>
          <w:kern w:val="0"/>
          <w:sz w:val="32"/>
          <w:szCs w:val="32"/>
          <w:lang w:val="zh-CN" w:eastAsia="zh-CN" w:bidi="ar-SA"/>
        </w:rPr>
        <w:t>预算年终结余，一般性支出较上年略有增加，主要原因是新进人员</w:t>
      </w:r>
      <w:r>
        <w:rPr>
          <w:rFonts w:hint="eastAsia" w:ascii="仿宋_GB2312" w:hAnsi="Calibri" w:eastAsia="仿宋_GB2312" w:cs="仿宋"/>
          <w:color w:val="000000"/>
          <w:kern w:val="0"/>
          <w:sz w:val="32"/>
          <w:szCs w:val="32"/>
          <w:lang w:val="en-US" w:eastAsia="zh-CN" w:bidi="ar-SA"/>
        </w:rPr>
        <w:t>1名，总体与上年变化不大。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3.</w:t>
      </w:r>
      <w:r>
        <w:rPr>
          <w:rFonts w:hint="default" w:ascii="仿宋_GB2312" w:hAnsi="Calibri" w:eastAsia="仿宋_GB2312" w:cs="仿宋"/>
          <w:b/>
          <w:bCs/>
          <w:color w:val="000000"/>
          <w:kern w:val="0"/>
          <w:sz w:val="32"/>
          <w:szCs w:val="32"/>
          <w:lang w:val="zh-CN" w:eastAsia="zh-CN" w:bidi="ar-SA"/>
        </w:rPr>
        <w:t>财务管理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本部门财务管理内控制度较健全，有预决算管理、资产管理、票据管理、合同管理、收支管理、“三公”经费管理等制度，有内部采购管理办法，部门财务严格按照制度实施。部门合理设置财务工作岗位，明确职责权限，并严格实行不相容岗位分离的财务岗位设置。部门资金使用严格按照相关财务管理制度规定执行，不存在超预算或无预算安排、虚列支出、超范围超标准使用经费、违规使用“三公”经费、滥发津补贴、报销不合规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4.</w:t>
      </w:r>
      <w:r>
        <w:rPr>
          <w:rFonts w:hint="default" w:ascii="仿宋_GB2312" w:hAnsi="Calibri" w:eastAsia="仿宋_GB2312" w:cs="仿宋"/>
          <w:b/>
          <w:bCs/>
          <w:color w:val="000000"/>
          <w:kern w:val="0"/>
          <w:sz w:val="32"/>
          <w:szCs w:val="32"/>
          <w:lang w:val="zh-CN" w:eastAsia="zh-CN" w:bidi="ar-SA"/>
        </w:rPr>
        <w:t>资产管理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部门本年度人均资产较上年度有所降低，人均资产变化率和人均资产增长率大大低于全县平均水平。部门本年度无闲置资产。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5.</w:t>
      </w:r>
      <w:r>
        <w:rPr>
          <w:rFonts w:hint="default" w:ascii="仿宋_GB2312" w:hAnsi="Calibri" w:eastAsia="仿宋_GB2312" w:cs="仿宋"/>
          <w:b/>
          <w:bCs/>
          <w:color w:val="000000"/>
          <w:kern w:val="0"/>
          <w:sz w:val="32"/>
          <w:szCs w:val="32"/>
          <w:lang w:val="zh-CN" w:eastAsia="zh-CN" w:bidi="ar-SA"/>
        </w:rPr>
        <w:t>采购管理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部门采购严格按照县财政采购管理规定和部门内部采购管理办法执行，采购过程中有支持中小企业发展、有向贫困地区农产品采购向倾斜的行为，采购执行率</w:t>
      </w:r>
      <w:r>
        <w:rPr>
          <w:rFonts w:hint="eastAsia" w:ascii="仿宋_GB2312" w:hAnsi="Calibri" w:eastAsia="仿宋_GB2312" w:cs="仿宋"/>
          <w:color w:val="000000"/>
          <w:kern w:val="0"/>
          <w:sz w:val="32"/>
          <w:szCs w:val="32"/>
          <w:lang w:val="en-US" w:eastAsia="zh-CN" w:bidi="ar-SA"/>
        </w:rPr>
        <w:t>100%</w:t>
      </w:r>
      <w:r>
        <w:rPr>
          <w:rFonts w:hint="eastAsia" w:ascii="仿宋_GB2312" w:hAnsi="Calibri" w:eastAsia="仿宋_GB2312" w:cs="仿宋"/>
          <w:color w:val="000000"/>
          <w:kern w:val="0"/>
          <w:sz w:val="32"/>
          <w:szCs w:val="32"/>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zh-CN" w:eastAsia="zh-CN" w:bidi="ar-SA"/>
        </w:rPr>
      </w:pPr>
      <w:r>
        <w:rPr>
          <w:rFonts w:hint="default" w:ascii="仿宋_GB2312" w:hAnsi="Calibri" w:eastAsia="仿宋_GB2312" w:cs="仿宋"/>
          <w:b/>
          <w:bCs/>
          <w:color w:val="000000"/>
          <w:kern w:val="0"/>
          <w:sz w:val="32"/>
          <w:szCs w:val="32"/>
          <w:lang w:val="en-US" w:eastAsia="zh-CN" w:bidi="ar-SA"/>
        </w:rPr>
        <w:t>常年项目绩效分析。</w:t>
      </w:r>
      <w:r>
        <w:rPr>
          <w:rFonts w:hint="default" w:ascii="仿宋_GB2312" w:hAnsi="Calibri" w:eastAsia="仿宋_GB2312" w:cs="仿宋"/>
          <w:color w:val="000000"/>
          <w:kern w:val="0"/>
          <w:sz w:val="32"/>
          <w:szCs w:val="32"/>
          <w:lang w:val="zh-CN" w:eastAsia="zh-CN" w:bidi="ar-SA"/>
        </w:rPr>
        <w:t>该类项目总数</w:t>
      </w:r>
      <w:r>
        <w:rPr>
          <w:rFonts w:hint="eastAsia" w:ascii="仿宋_GB2312" w:hAnsi="Calibri" w:eastAsia="仿宋_GB2312" w:cs="仿宋"/>
          <w:color w:val="000000"/>
          <w:kern w:val="0"/>
          <w:sz w:val="32"/>
          <w:szCs w:val="32"/>
          <w:lang w:val="en-US" w:eastAsia="zh-CN" w:bidi="ar-SA"/>
        </w:rPr>
        <w:t>4</w:t>
      </w:r>
      <w:r>
        <w:rPr>
          <w:rFonts w:hint="default" w:ascii="仿宋_GB2312" w:hAnsi="Calibri" w:eastAsia="仿宋_GB2312" w:cs="仿宋"/>
          <w:color w:val="000000"/>
          <w:kern w:val="0"/>
          <w:sz w:val="32"/>
          <w:szCs w:val="32"/>
          <w:lang w:val="zh-CN" w:eastAsia="zh-CN" w:bidi="ar-SA"/>
        </w:rPr>
        <w:t>个，涉及预算总金额</w:t>
      </w:r>
      <w:r>
        <w:rPr>
          <w:rFonts w:hint="default" w:ascii="仿宋_GB2312" w:hAnsi="Calibri" w:eastAsia="仿宋_GB2312" w:cs="仿宋"/>
          <w:color w:val="000000"/>
          <w:kern w:val="0"/>
          <w:sz w:val="32"/>
          <w:szCs w:val="32"/>
          <w:lang w:val="en-US" w:eastAsia="zh-CN" w:bidi="ar-SA"/>
        </w:rPr>
        <w:t xml:space="preserve">   </w:t>
      </w:r>
      <w:r>
        <w:rPr>
          <w:rFonts w:hint="eastAsia" w:ascii="仿宋_GB2312" w:hAnsi="Calibri" w:eastAsia="仿宋_GB2312" w:cs="仿宋"/>
          <w:color w:val="000000"/>
          <w:kern w:val="0"/>
          <w:sz w:val="32"/>
          <w:szCs w:val="32"/>
          <w:lang w:val="en-US" w:eastAsia="zh-CN" w:bidi="ar-SA"/>
        </w:rPr>
        <w:t>139.4</w:t>
      </w:r>
      <w:r>
        <w:rPr>
          <w:rFonts w:hint="default" w:ascii="仿宋_GB2312" w:hAnsi="Calibri" w:eastAsia="仿宋_GB2312" w:cs="仿宋"/>
          <w:color w:val="000000"/>
          <w:kern w:val="0"/>
          <w:sz w:val="32"/>
          <w:szCs w:val="32"/>
          <w:lang w:val="zh-CN" w:eastAsia="zh-CN" w:bidi="ar-SA"/>
        </w:rPr>
        <w:t>万元，1</w:t>
      </w:r>
      <w:r>
        <w:rPr>
          <w:rFonts w:hint="eastAsia" w:ascii="仿宋_GB2312" w:hAnsi="Calibri" w:eastAsia="仿宋_GB2312" w:cs="仿宋"/>
          <w:color w:val="000000"/>
          <w:kern w:val="0"/>
          <w:sz w:val="32"/>
          <w:szCs w:val="32"/>
          <w:lang w:val="zh-CN" w:eastAsia="zh-CN" w:bidi="ar-SA"/>
        </w:rPr>
        <w:t>—</w:t>
      </w:r>
      <w:r>
        <w:rPr>
          <w:rFonts w:hint="default" w:ascii="仿宋_GB2312" w:hAnsi="Calibri" w:eastAsia="仿宋_GB2312" w:cs="仿宋"/>
          <w:color w:val="000000"/>
          <w:kern w:val="0"/>
          <w:sz w:val="32"/>
          <w:szCs w:val="32"/>
          <w:lang w:val="zh-CN" w:eastAsia="zh-CN" w:bidi="ar-SA"/>
        </w:rPr>
        <w:t>1</w:t>
      </w:r>
      <w:r>
        <w:rPr>
          <w:rFonts w:hint="default" w:ascii="仿宋_GB2312" w:hAnsi="Calibri" w:eastAsia="仿宋_GB2312" w:cs="仿宋"/>
          <w:color w:val="000000"/>
          <w:kern w:val="0"/>
          <w:sz w:val="32"/>
          <w:szCs w:val="32"/>
          <w:lang w:val="en-US" w:eastAsia="zh-CN" w:bidi="ar-SA"/>
        </w:rPr>
        <w:t>2</w:t>
      </w:r>
      <w:r>
        <w:rPr>
          <w:rFonts w:hint="default" w:ascii="仿宋_GB2312" w:hAnsi="Calibri" w:eastAsia="仿宋_GB2312" w:cs="仿宋"/>
          <w:color w:val="000000"/>
          <w:kern w:val="0"/>
          <w:sz w:val="32"/>
          <w:szCs w:val="32"/>
          <w:lang w:val="zh-CN" w:eastAsia="zh-CN" w:bidi="ar-SA"/>
        </w:rPr>
        <w:t>月预算执行总体进度为</w:t>
      </w:r>
      <w:r>
        <w:rPr>
          <w:rFonts w:hint="eastAsia" w:ascii="仿宋_GB2312" w:hAnsi="Calibri" w:eastAsia="仿宋_GB2312" w:cs="仿宋"/>
          <w:color w:val="000000"/>
          <w:kern w:val="0"/>
          <w:sz w:val="32"/>
          <w:szCs w:val="32"/>
          <w:lang w:val="en-US" w:eastAsia="zh-CN" w:bidi="ar-SA"/>
        </w:rPr>
        <w:t>100</w:t>
      </w:r>
      <w:r>
        <w:rPr>
          <w:rFonts w:hint="default" w:ascii="仿宋_GB2312" w:hAnsi="Calibri" w:eastAsia="仿宋_GB2312" w:cs="仿宋"/>
          <w:color w:val="000000"/>
          <w:kern w:val="0"/>
          <w:sz w:val="32"/>
          <w:szCs w:val="32"/>
          <w:lang w:val="zh-CN" w:eastAsia="zh-CN" w:bidi="ar-SA"/>
        </w:rPr>
        <w:t>%，其中：预算结余率大于</w:t>
      </w:r>
      <w:r>
        <w:rPr>
          <w:rFonts w:hint="default" w:ascii="仿宋_GB2312" w:hAnsi="Calibri" w:eastAsia="仿宋_GB2312" w:cs="仿宋"/>
          <w:color w:val="000000"/>
          <w:kern w:val="0"/>
          <w:sz w:val="32"/>
          <w:szCs w:val="32"/>
          <w:lang w:val="en-US" w:eastAsia="zh-CN" w:bidi="ar-SA"/>
        </w:rPr>
        <w:t>10%</w:t>
      </w:r>
      <w:r>
        <w:rPr>
          <w:rFonts w:hint="default" w:ascii="仿宋_GB2312" w:hAnsi="Calibri" w:eastAsia="仿宋_GB2312" w:cs="仿宋"/>
          <w:color w:val="000000"/>
          <w:kern w:val="0"/>
          <w:sz w:val="32"/>
          <w:szCs w:val="32"/>
          <w:lang w:val="zh-CN" w:eastAsia="zh-CN" w:bidi="ar-SA"/>
        </w:rPr>
        <w:t>的项目共计</w:t>
      </w:r>
      <w:r>
        <w:rPr>
          <w:rFonts w:hint="eastAsia" w:ascii="仿宋_GB2312" w:hAnsi="Calibri" w:eastAsia="仿宋_GB2312" w:cs="仿宋"/>
          <w:color w:val="000000"/>
          <w:kern w:val="0"/>
          <w:sz w:val="32"/>
          <w:szCs w:val="32"/>
          <w:lang w:val="en-US" w:eastAsia="zh-CN" w:bidi="ar-SA"/>
        </w:rPr>
        <w:t>0</w:t>
      </w:r>
      <w:r>
        <w:rPr>
          <w:rFonts w:hint="default" w:ascii="仿宋_GB2312" w:hAnsi="Calibri" w:eastAsia="仿宋_GB2312" w:cs="仿宋"/>
          <w:color w:val="000000"/>
          <w:kern w:val="0"/>
          <w:sz w:val="32"/>
          <w:szCs w:val="32"/>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Calibri" w:eastAsia="仿宋_GB2312" w:cs="仿宋"/>
          <w:color w:val="000000"/>
          <w:kern w:val="0"/>
          <w:sz w:val="32"/>
          <w:szCs w:val="32"/>
          <w:lang w:val="zh-CN" w:eastAsia="zh-CN" w:bidi="ar-SA"/>
        </w:rPr>
      </w:pPr>
      <w:r>
        <w:rPr>
          <w:rFonts w:hint="default" w:ascii="仿宋_GB2312" w:hAnsi="Calibri" w:eastAsia="仿宋_GB2312" w:cs="仿宋"/>
          <w:color w:val="000000"/>
          <w:kern w:val="0"/>
          <w:sz w:val="32"/>
          <w:szCs w:val="32"/>
          <w:lang w:val="en-US" w:eastAsia="zh-CN" w:bidi="ar-SA"/>
        </w:rPr>
        <w:t>阶段</w:t>
      </w:r>
      <w:r>
        <w:rPr>
          <w:rFonts w:hint="eastAsia" w:ascii="仿宋_GB2312" w:hAnsi="Calibri" w:eastAsia="仿宋_GB2312" w:cs="仿宋"/>
          <w:color w:val="000000"/>
          <w:kern w:val="0"/>
          <w:sz w:val="32"/>
          <w:szCs w:val="32"/>
          <w:lang w:val="en-US" w:eastAsia="zh-CN" w:bidi="ar-SA"/>
        </w:rPr>
        <w:t>（</w:t>
      </w:r>
      <w:r>
        <w:rPr>
          <w:rFonts w:hint="default" w:ascii="仿宋_GB2312" w:hAnsi="Calibri" w:eastAsia="仿宋_GB2312" w:cs="仿宋"/>
          <w:color w:val="000000"/>
          <w:kern w:val="0"/>
          <w:sz w:val="32"/>
          <w:szCs w:val="32"/>
          <w:lang w:val="en-US" w:eastAsia="zh-CN" w:bidi="ar-SA"/>
        </w:rPr>
        <w:t>一次性</w:t>
      </w:r>
      <w:r>
        <w:rPr>
          <w:rFonts w:hint="eastAsia" w:ascii="仿宋_GB2312" w:hAnsi="Calibri" w:eastAsia="仿宋_GB2312" w:cs="仿宋"/>
          <w:color w:val="000000"/>
          <w:kern w:val="0"/>
          <w:sz w:val="32"/>
          <w:szCs w:val="32"/>
          <w:lang w:val="en-US" w:eastAsia="zh-CN" w:bidi="ar-SA"/>
        </w:rPr>
        <w:t>）</w:t>
      </w:r>
      <w:r>
        <w:rPr>
          <w:rFonts w:hint="default" w:ascii="仿宋_GB2312" w:hAnsi="Calibri" w:eastAsia="仿宋_GB2312" w:cs="仿宋"/>
          <w:color w:val="000000"/>
          <w:kern w:val="0"/>
          <w:sz w:val="32"/>
          <w:szCs w:val="32"/>
          <w:lang w:val="en-US" w:eastAsia="zh-CN" w:bidi="ar-SA"/>
        </w:rPr>
        <w:t>项目绩效分析。</w:t>
      </w:r>
      <w:r>
        <w:rPr>
          <w:rFonts w:hint="default" w:ascii="仿宋_GB2312" w:hAnsi="Calibri" w:eastAsia="仿宋_GB2312" w:cs="仿宋"/>
          <w:color w:val="000000"/>
          <w:kern w:val="0"/>
          <w:sz w:val="32"/>
          <w:szCs w:val="32"/>
          <w:lang w:val="zh-CN" w:eastAsia="zh-CN" w:bidi="ar-SA"/>
        </w:rPr>
        <w:t>该类项目总数</w:t>
      </w:r>
      <w:r>
        <w:rPr>
          <w:rFonts w:hint="default" w:ascii="仿宋_GB2312" w:hAnsi="Calibri" w:eastAsia="仿宋_GB2312" w:cs="仿宋"/>
          <w:color w:val="000000"/>
          <w:kern w:val="0"/>
          <w:sz w:val="32"/>
          <w:szCs w:val="32"/>
          <w:lang w:val="en-US" w:eastAsia="zh-CN" w:bidi="ar-SA"/>
        </w:rPr>
        <w:t xml:space="preserve"> </w:t>
      </w:r>
      <w:r>
        <w:rPr>
          <w:rFonts w:hint="eastAsia" w:ascii="仿宋_GB2312" w:hAnsi="Calibri" w:eastAsia="仿宋_GB2312" w:cs="仿宋"/>
          <w:color w:val="000000"/>
          <w:kern w:val="0"/>
          <w:sz w:val="32"/>
          <w:szCs w:val="32"/>
          <w:lang w:val="en-US" w:eastAsia="zh-CN" w:bidi="ar-SA"/>
        </w:rPr>
        <w:t>5</w:t>
      </w:r>
      <w:r>
        <w:rPr>
          <w:rFonts w:hint="default" w:ascii="仿宋_GB2312" w:hAnsi="Calibri" w:eastAsia="仿宋_GB2312" w:cs="仿宋"/>
          <w:color w:val="000000"/>
          <w:kern w:val="0"/>
          <w:sz w:val="32"/>
          <w:szCs w:val="32"/>
          <w:lang w:val="zh-CN" w:eastAsia="zh-CN" w:bidi="ar-SA"/>
        </w:rPr>
        <w:t>个，涉及预算总金额</w:t>
      </w:r>
      <w:r>
        <w:rPr>
          <w:rFonts w:hint="eastAsia" w:ascii="仿宋_GB2312" w:hAnsi="Calibri" w:eastAsia="仿宋_GB2312" w:cs="仿宋"/>
          <w:color w:val="000000"/>
          <w:kern w:val="0"/>
          <w:sz w:val="32"/>
          <w:szCs w:val="32"/>
          <w:lang w:val="en-US" w:eastAsia="zh-CN" w:bidi="ar-SA"/>
        </w:rPr>
        <w:t>285.8</w:t>
      </w:r>
      <w:r>
        <w:rPr>
          <w:rFonts w:hint="default" w:ascii="仿宋_GB2312" w:hAnsi="Calibri" w:eastAsia="仿宋_GB2312" w:cs="仿宋"/>
          <w:color w:val="000000"/>
          <w:kern w:val="0"/>
          <w:sz w:val="32"/>
          <w:szCs w:val="32"/>
          <w:lang w:val="zh-CN" w:eastAsia="zh-CN" w:bidi="ar-SA"/>
        </w:rPr>
        <w:t>万元，1</w:t>
      </w:r>
      <w:r>
        <w:rPr>
          <w:rFonts w:hint="eastAsia" w:ascii="仿宋_GB2312" w:hAnsi="Calibri" w:eastAsia="仿宋_GB2312" w:cs="仿宋"/>
          <w:color w:val="000000"/>
          <w:kern w:val="0"/>
          <w:sz w:val="32"/>
          <w:szCs w:val="32"/>
          <w:lang w:val="zh-CN" w:eastAsia="zh-CN" w:bidi="ar-SA"/>
        </w:rPr>
        <w:t>—</w:t>
      </w:r>
      <w:r>
        <w:rPr>
          <w:rFonts w:hint="default" w:ascii="仿宋_GB2312" w:hAnsi="Calibri" w:eastAsia="仿宋_GB2312" w:cs="仿宋"/>
          <w:color w:val="000000"/>
          <w:kern w:val="0"/>
          <w:sz w:val="32"/>
          <w:szCs w:val="32"/>
          <w:lang w:val="zh-CN" w:eastAsia="zh-CN" w:bidi="ar-SA"/>
        </w:rPr>
        <w:t>1</w:t>
      </w:r>
      <w:r>
        <w:rPr>
          <w:rFonts w:hint="default" w:ascii="仿宋_GB2312" w:hAnsi="Calibri" w:eastAsia="仿宋_GB2312" w:cs="仿宋"/>
          <w:color w:val="000000"/>
          <w:kern w:val="0"/>
          <w:sz w:val="32"/>
          <w:szCs w:val="32"/>
          <w:lang w:val="en-US" w:eastAsia="zh-CN" w:bidi="ar-SA"/>
        </w:rPr>
        <w:t>2</w:t>
      </w:r>
      <w:r>
        <w:rPr>
          <w:rFonts w:hint="default" w:ascii="仿宋_GB2312" w:hAnsi="Calibri" w:eastAsia="仿宋_GB2312" w:cs="仿宋"/>
          <w:color w:val="000000"/>
          <w:kern w:val="0"/>
          <w:sz w:val="32"/>
          <w:szCs w:val="32"/>
          <w:lang w:val="zh-CN" w:eastAsia="zh-CN" w:bidi="ar-SA"/>
        </w:rPr>
        <w:t>月预算执行总体进度为</w:t>
      </w:r>
      <w:r>
        <w:rPr>
          <w:rFonts w:hint="eastAsia" w:ascii="仿宋_GB2312" w:hAnsi="Calibri" w:eastAsia="仿宋_GB2312" w:cs="仿宋"/>
          <w:color w:val="000000"/>
          <w:kern w:val="0"/>
          <w:sz w:val="32"/>
          <w:szCs w:val="32"/>
          <w:lang w:val="en-US" w:eastAsia="zh-CN" w:bidi="ar-SA"/>
        </w:rPr>
        <w:t>100</w:t>
      </w:r>
      <w:r>
        <w:rPr>
          <w:rFonts w:hint="default" w:ascii="仿宋_GB2312" w:hAnsi="Calibri" w:eastAsia="仿宋_GB2312" w:cs="仿宋"/>
          <w:color w:val="000000"/>
          <w:kern w:val="0"/>
          <w:sz w:val="32"/>
          <w:szCs w:val="32"/>
          <w:lang w:val="zh-CN" w:eastAsia="zh-CN" w:bidi="ar-SA"/>
        </w:rPr>
        <w:t>%，其中：预算结余率大于</w:t>
      </w:r>
      <w:r>
        <w:rPr>
          <w:rFonts w:hint="default" w:ascii="仿宋_GB2312" w:hAnsi="Calibri" w:eastAsia="仿宋_GB2312" w:cs="仿宋"/>
          <w:color w:val="000000"/>
          <w:kern w:val="0"/>
          <w:sz w:val="32"/>
          <w:szCs w:val="32"/>
          <w:lang w:val="en-US" w:eastAsia="zh-CN" w:bidi="ar-SA"/>
        </w:rPr>
        <w:t>10%</w:t>
      </w:r>
      <w:r>
        <w:rPr>
          <w:rFonts w:hint="default" w:ascii="仿宋_GB2312" w:hAnsi="Calibri" w:eastAsia="仿宋_GB2312" w:cs="仿宋"/>
          <w:color w:val="000000"/>
          <w:kern w:val="0"/>
          <w:sz w:val="32"/>
          <w:szCs w:val="32"/>
          <w:lang w:val="zh-CN" w:eastAsia="zh-CN" w:bidi="ar-SA"/>
        </w:rPr>
        <w:t>的项目共计</w:t>
      </w:r>
      <w:r>
        <w:rPr>
          <w:rFonts w:hint="eastAsia" w:ascii="仿宋_GB2312" w:hAnsi="Calibri" w:eastAsia="仿宋_GB2312" w:cs="仿宋"/>
          <w:color w:val="000000"/>
          <w:kern w:val="0"/>
          <w:sz w:val="32"/>
          <w:szCs w:val="32"/>
          <w:lang w:val="en-US" w:eastAsia="zh-CN" w:bidi="ar-SA"/>
        </w:rPr>
        <w:t>0</w:t>
      </w:r>
      <w:r>
        <w:rPr>
          <w:rFonts w:hint="default" w:ascii="仿宋_GB2312" w:hAnsi="Calibri" w:eastAsia="仿宋_GB2312" w:cs="仿宋"/>
          <w:color w:val="000000"/>
          <w:kern w:val="0"/>
          <w:sz w:val="32"/>
          <w:szCs w:val="32"/>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1.</w:t>
      </w:r>
      <w:r>
        <w:rPr>
          <w:rFonts w:hint="eastAsia" w:ascii="仿宋_GB2312" w:hAnsi="Calibri" w:eastAsia="仿宋_GB2312" w:cs="仿宋"/>
          <w:b/>
          <w:bCs/>
          <w:color w:val="000000"/>
          <w:kern w:val="0"/>
          <w:sz w:val="32"/>
          <w:szCs w:val="32"/>
          <w:lang w:val="zh-CN" w:eastAsia="zh-CN" w:bidi="ar-SA"/>
        </w:rPr>
        <w:t>项目决策。</w:t>
      </w:r>
      <w:r>
        <w:rPr>
          <w:rFonts w:hint="eastAsia" w:ascii="仿宋_GB2312" w:hAnsi="Calibri" w:eastAsia="仿宋_GB2312" w:cs="仿宋"/>
          <w:color w:val="000000"/>
          <w:kern w:val="0"/>
          <w:sz w:val="32"/>
          <w:szCs w:val="32"/>
          <w:lang w:val="zh-CN" w:eastAsia="zh-CN" w:bidi="ar-SA"/>
        </w:rPr>
        <w:t>部门预算项目设立按规定履行了事前绩效评估论证，按规定实施项目申报和入库，同时按要求编制项目绩效目标。部门预算项目绩效目标与计划期内的任务量、预算安排的资金量相匹配，绩效目标设置科学合理、规范完整、量化细化、预与算匹配度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2.项目执行</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部门预算项目实际列支内容与绩效目标设置方向相符，遇到需要项目调整时按要求进行了调整，部门预算执行率为</w:t>
      </w:r>
      <w:r>
        <w:rPr>
          <w:rFonts w:hint="eastAsia" w:ascii="仿宋_GB2312" w:hAnsi="Calibri" w:eastAsia="仿宋_GB2312" w:cs="仿宋"/>
          <w:color w:val="000000"/>
          <w:kern w:val="0"/>
          <w:sz w:val="32"/>
          <w:szCs w:val="32"/>
          <w:lang w:val="en-US" w:eastAsia="zh-CN" w:bidi="ar-SA"/>
        </w:rPr>
        <w:t>100%，项目预算结余率为0%</w:t>
      </w:r>
      <w:r>
        <w:rPr>
          <w:rFonts w:hint="eastAsia" w:ascii="仿宋_GB2312" w:hAnsi="Calibri" w:eastAsia="仿宋_GB2312" w:cs="仿宋"/>
          <w:color w:val="000000"/>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3.</w:t>
      </w:r>
      <w:r>
        <w:rPr>
          <w:rFonts w:hint="eastAsia" w:ascii="仿宋_GB2312" w:hAnsi="Calibri" w:eastAsia="仿宋_GB2312" w:cs="仿宋"/>
          <w:b/>
          <w:bCs/>
          <w:color w:val="000000"/>
          <w:kern w:val="0"/>
          <w:sz w:val="32"/>
          <w:szCs w:val="32"/>
          <w:lang w:val="zh-CN" w:eastAsia="zh-CN" w:bidi="ar-SA"/>
        </w:rPr>
        <w:t>目标实现。</w:t>
      </w:r>
      <w:r>
        <w:rPr>
          <w:rFonts w:hint="eastAsia" w:ascii="仿宋_GB2312" w:hAnsi="Calibri" w:eastAsia="仿宋_GB2312" w:cs="仿宋"/>
          <w:color w:val="000000"/>
          <w:kern w:val="0"/>
          <w:sz w:val="32"/>
          <w:szCs w:val="32"/>
          <w:lang w:val="zh-CN" w:eastAsia="zh-CN" w:bidi="ar-SA"/>
        </w:rPr>
        <w:t>部门预算项目绩效目标数量指标均已完成，实现程度与预期目标基本无偏离，预算项目绩效目标效益指标实施效果良好。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zh-CN" w:eastAsia="zh-CN" w:bidi="ar-SA"/>
        </w:rPr>
        <w:t>）重点领域绩效分析。</w:t>
      </w:r>
      <w:r>
        <w:rPr>
          <w:rFonts w:hint="default" w:ascii="仿宋_GB2312" w:hAnsi="Calibri" w:eastAsia="仿宋_GB2312" w:cs="仿宋"/>
          <w:color w:val="000000"/>
          <w:kern w:val="0"/>
          <w:sz w:val="32"/>
          <w:szCs w:val="32"/>
          <w:lang w:val="en-US" w:eastAsia="zh-CN" w:bidi="ar-SA"/>
        </w:rPr>
        <w:t>部门</w:t>
      </w:r>
      <w:r>
        <w:rPr>
          <w:rFonts w:hint="eastAsia" w:ascii="仿宋_GB2312" w:hAnsi="Calibri" w:eastAsia="仿宋_GB2312" w:cs="仿宋"/>
          <w:color w:val="000000"/>
          <w:kern w:val="0"/>
          <w:sz w:val="32"/>
          <w:szCs w:val="32"/>
          <w:lang w:val="en-US" w:eastAsia="zh-CN" w:bidi="ar-SA"/>
        </w:rPr>
        <w:t>2023年度不</w:t>
      </w:r>
      <w:r>
        <w:rPr>
          <w:rFonts w:hint="default" w:ascii="仿宋_GB2312" w:hAnsi="Calibri" w:eastAsia="仿宋_GB2312" w:cs="仿宋"/>
          <w:color w:val="000000"/>
          <w:kern w:val="0"/>
          <w:sz w:val="32"/>
          <w:szCs w:val="32"/>
          <w:lang w:val="en-US" w:eastAsia="zh-CN" w:bidi="ar-SA"/>
        </w:rPr>
        <w:t>涉及国有资本、债券资金、政府采购和政府购买服务</w:t>
      </w:r>
      <w:r>
        <w:rPr>
          <w:rFonts w:hint="eastAsia" w:ascii="仿宋_GB2312" w:hAnsi="Calibri" w:eastAsia="仿宋_GB2312" w:cs="仿宋"/>
          <w:color w:val="000000"/>
          <w:kern w:val="0"/>
          <w:sz w:val="32"/>
          <w:szCs w:val="32"/>
          <w:lang w:val="en-US" w:eastAsia="zh-CN" w:bidi="ar-SA"/>
        </w:rPr>
        <w:t>，固定</w:t>
      </w:r>
      <w:r>
        <w:rPr>
          <w:rFonts w:hint="default" w:ascii="仿宋_GB2312" w:hAnsi="Calibri" w:eastAsia="仿宋_GB2312" w:cs="仿宋"/>
          <w:color w:val="000000"/>
          <w:kern w:val="0"/>
          <w:sz w:val="32"/>
          <w:szCs w:val="32"/>
          <w:lang w:val="en-US" w:eastAsia="zh-CN" w:bidi="ar-SA"/>
        </w:rPr>
        <w:t>资产</w:t>
      </w:r>
      <w:r>
        <w:rPr>
          <w:rFonts w:hint="eastAsia" w:ascii="仿宋_GB2312" w:hAnsi="Calibri" w:eastAsia="仿宋_GB2312" w:cs="仿宋"/>
          <w:color w:val="000000"/>
          <w:kern w:val="0"/>
          <w:sz w:val="32"/>
          <w:szCs w:val="32"/>
          <w:lang w:val="en-US" w:eastAsia="zh-CN" w:bidi="ar-SA"/>
        </w:rPr>
        <w:t>原值127.08万元</w:t>
      </w:r>
      <w:r>
        <w:rPr>
          <w:rFonts w:hint="default"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固定资产累计折旧84.95万元，固定资产净值42.13万元。</w:t>
      </w:r>
    </w:p>
    <w:p>
      <w:pPr>
        <w:keepNext w:val="0"/>
        <w:keepLines w:val="0"/>
        <w:pageBreakBefore w:val="0"/>
        <w:widowControl w:val="0"/>
        <w:kinsoku/>
        <w:wordWrap/>
        <w:overflowPunct/>
        <w:topLinePunct w:val="0"/>
        <w:autoSpaceDE/>
        <w:autoSpaceDN/>
        <w:bidi w:val="0"/>
        <w:snapToGrid w:val="0"/>
        <w:spacing w:line="600" w:lineRule="exact"/>
        <w:ind w:firstLine="642" w:firstLineChars="200"/>
        <w:textAlignment w:val="auto"/>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（四）绩效结果应用情况</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部门绩效评价结果将作为来年预算编制、预算执行和绩效目标设置等方面提供好的借鉴，确保预算编制更加准确完善，预算执行更加有序推进，预算绩效目标设置更加科学合理。部门预算绩效评价将随着决算一起在政府门户网站予以</w:t>
      </w:r>
      <w:r>
        <w:rPr>
          <w:rFonts w:hint="default" w:ascii="仿宋_GB2312" w:hAnsi="Calibri" w:eastAsia="仿宋_GB2312" w:cs="仿宋"/>
          <w:color w:val="000000"/>
          <w:kern w:val="0"/>
          <w:sz w:val="32"/>
          <w:szCs w:val="32"/>
          <w:lang w:val="zh-CN" w:eastAsia="zh-CN" w:bidi="ar-SA"/>
        </w:rPr>
        <w:t>公开</w:t>
      </w:r>
      <w:r>
        <w:rPr>
          <w:rFonts w:hint="eastAsia" w:ascii="仿宋_GB2312" w:hAnsi="Calibri" w:eastAsia="仿宋_GB2312" w:cs="仿宋"/>
          <w:color w:val="000000"/>
          <w:kern w:val="0"/>
          <w:sz w:val="32"/>
          <w:szCs w:val="32"/>
          <w:lang w:val="zh-CN" w:eastAsia="zh-CN" w:bidi="ar-SA"/>
        </w:rPr>
        <w:t>。预算绩效评价存在问题将及时向领导汇报，反馈给财务和业务股室，予以整改。</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default" w:ascii="仿宋_GB2312" w:hAnsi="Calibri" w:eastAsia="仿宋_GB2312" w:cs="仿宋"/>
          <w:b/>
          <w:bCs/>
          <w:color w:val="000000"/>
          <w:kern w:val="0"/>
          <w:sz w:val="32"/>
          <w:szCs w:val="32"/>
          <w:lang w:val="en-US" w:eastAsia="zh-CN" w:bidi="ar-SA"/>
        </w:rPr>
        <w:t>四、评价结论及建议</w:t>
      </w:r>
    </w:p>
    <w:p>
      <w:pPr>
        <w:widowControl/>
        <w:adjustRightInd w:val="0"/>
        <w:snapToGrid w:val="0"/>
        <w:spacing w:line="520" w:lineRule="exact"/>
        <w:ind w:firstLine="642" w:firstLineChars="200"/>
        <w:jc w:val="left"/>
        <w:rPr>
          <w:rFonts w:hint="eastAsia"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（一）评价结论。</w:t>
      </w:r>
      <w:r>
        <w:rPr>
          <w:rFonts w:hint="eastAsia" w:ascii="仿宋_GB2312" w:hAnsi="Calibri" w:eastAsia="仿宋_GB2312" w:cs="仿宋"/>
          <w:color w:val="000000"/>
          <w:kern w:val="0"/>
          <w:sz w:val="32"/>
          <w:szCs w:val="32"/>
          <w:lang w:val="en-US" w:eastAsia="zh-CN" w:bidi="ar-SA"/>
        </w:rPr>
        <w:t>部门按照履职效能、预算管理、财务管理、资产管理、采购管理、项目决策、项目执行和项目实现8个方面开展了自评。自评得分93.9分，总体为优。其中，本年度不涉及单位收入统筹方面的情况。具体为：履职效能方面得分15分，预算管理得分21分，财务管理得分10分，资产管理得分6.9分，采购管理得分6分，项目决策得分12分，项目执行得分12分，项目实现得分11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（二）存在问题。</w:t>
      </w:r>
      <w:r>
        <w:rPr>
          <w:rFonts w:hint="eastAsia" w:ascii="仿宋_GB2312" w:hAnsi="Calibri" w:eastAsia="仿宋_GB2312" w:cs="仿宋"/>
          <w:color w:val="000000"/>
          <w:kern w:val="0"/>
          <w:sz w:val="32"/>
          <w:szCs w:val="32"/>
          <w:lang w:val="en-US" w:eastAsia="zh-CN" w:bidi="ar-SA"/>
        </w:rPr>
        <w:t>1.追加预算较多，预算编制存在一定偏离度；2.预算执行进度还需加快，个别项目进度滞后；3.严控一般支出上还需进一步加强；4.资产利用率还需进一步提高。</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（三）改进建议。</w:t>
      </w:r>
      <w:bookmarkStart w:id="91" w:name="_Hlk110546638"/>
      <w:r>
        <w:rPr>
          <w:rFonts w:hint="eastAsia" w:ascii="仿宋_GB2312" w:hAnsi="Calibri" w:eastAsia="仿宋_GB2312" w:cs="仿宋"/>
          <w:color w:val="000000"/>
          <w:kern w:val="0"/>
          <w:sz w:val="32"/>
          <w:szCs w:val="32"/>
          <w:lang w:val="en-US" w:eastAsia="zh-CN" w:bidi="ar-SA"/>
        </w:rPr>
        <w:t>1.进一步提高预算编制质量，降低偏离度，使预算编制更加准确完善；2.加快滞后项目的预算执行进度，确保项目按照进度有序实施，按时完成；3.进一步严控一般支出，确保下年度一般支出在本年度有所下降；4.进一步优化资产配置，提升资产利用率。</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 w:eastAsia="zh-CN" w:bidi="ar-SA"/>
        </w:rPr>
      </w:pPr>
    </w:p>
    <w:bookmarkEnd w:id="91"/>
    <w:p>
      <w:pPr>
        <w:keepNext w:val="0"/>
        <w:keepLines w:val="0"/>
        <w:pageBreakBefore w:val="0"/>
        <w:kinsoku/>
        <w:wordWrap/>
        <w:overflowPunct/>
        <w:topLinePunct w:val="0"/>
        <w:autoSpaceDE/>
        <w:autoSpaceDN/>
        <w:bidi w:val="0"/>
        <w:spacing w:line="578" w:lineRule="exact"/>
        <w:textAlignment w:val="auto"/>
        <w:rPr>
          <w:rFonts w:hint="default" w:ascii="仿宋_GB2312" w:hAnsi="Calibri" w:eastAsia="仿宋_GB2312" w:cs="仿宋"/>
          <w:color w:val="000000"/>
          <w:kern w:val="0"/>
          <w:sz w:val="32"/>
          <w:szCs w:val="32"/>
          <w:lang w:val="en-US" w:eastAsia="zh-CN" w:bidi="ar-SA"/>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_GB2312" w:hAnsi="Calibri" w:eastAsia="仿宋_GB2312" w:cs="仿宋"/>
          <w:color w:val="000000"/>
          <w:kern w:val="0"/>
          <w:sz w:val="32"/>
          <w:szCs w:val="32"/>
          <w:lang w:val="en-US" w:eastAsia="zh-CN" w:bidi="ar-SA"/>
        </w:rPr>
        <w:t>附表：</w:t>
      </w:r>
      <w:r>
        <w:rPr>
          <w:rFonts w:hint="default" w:ascii="仿宋_GB2312" w:hAnsi="Calibri" w:eastAsia="仿宋_GB2312" w:cs="仿宋"/>
          <w:color w:val="000000"/>
          <w:kern w:val="0"/>
          <w:sz w:val="32"/>
          <w:szCs w:val="32"/>
          <w:lang w:val="en-US" w:eastAsia="zh-CN" w:bidi="ar-SA"/>
        </w:rPr>
        <w:t>部门整体支出绩效目标完成情况自评表</w:t>
      </w:r>
    </w:p>
    <w:p>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仿宋_GB2312" w:cs="Times New Roman"/>
          <w:kern w:val="2"/>
          <w:sz w:val="32"/>
          <w:szCs w:val="24"/>
          <w:highlight w:val="none"/>
          <w:lang w:val="en-US" w:eastAsia="zh-CN" w:bidi="ar-SA"/>
        </w:rPr>
      </w:pP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77"/>
        <w:gridCol w:w="1860"/>
        <w:gridCol w:w="1866"/>
        <w:gridCol w:w="3105"/>
        <w:gridCol w:w="1623"/>
        <w:gridCol w:w="1888"/>
        <w:gridCol w:w="1214"/>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exact"/>
          <w:jc w:val="center"/>
        </w:trPr>
        <w:tc>
          <w:tcPr>
            <w:tcW w:w="5000" w:type="pct"/>
            <w:gridSpan w:val="8"/>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000" w:type="pct"/>
            <w:gridSpan w:val="8"/>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000" w:type="pct"/>
            <w:gridSpan w:val="8"/>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8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部门名称</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年度部门整体支出预算</w:t>
            </w: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资金总额</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575.05</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575.05</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4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是全面贯彻落实党的二十大精神的开局之年，是推进“东翼”泸县建设的突破之年，是争创全国百强县的冲刺之年，是实施“十四五”规划中期评估之年，做好各项工作责任重大。今年我部门将牢牢把握稳中求进工作总基调，在全面完成中央、省、市安排部署的各项专项统计、抽样调查之外，提早谋划部署，为顺利完成全国第五次经济普查作好前期工作准备，为县委、县政府领导制定科学的经济发展决策提供优质服务，为各类统计计算提供最真实、准确、完整的原始资料，坚定不移推动县域经济高质量发展，为奋力谱写新时代泸县发展新篇章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年度主要任务</w:t>
            </w: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统计抽样调查工作经费</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完成上级主管部门确定的统计抽样调查项目，目的是为统计调查提供抽样推算的依据。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上争外引工作经费</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为减轻本级财政压力，鼓励向上级省市主管部门争取工作经费。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专项统计业务工作经费</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全面建立乡镇信息，监测妇女儿童生存、健康、受教育等情况，对全县工业开展全面 的重点调查，了解经济发展趋势，为各级领导决策提供科学依据。了解民情，反映民意，集是民智，通过不断丰富调查内容，创新调查方法，为倾听群众呼声，开门收集民情，真心实意征民意，解民忧搭建平台，把畅通民意作为服务群众 “最后一公里”的抓手，有效提升县委县政府科学化决策能力。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政府采购项目经费</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办公设备报废更新，确保日常工作正常运转。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绩效指标性质</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绩效度量单位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完成城乡住户调查统计</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完成生猪监测统计</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调查员、辅助调查员培训覆盖率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各项报表时效性</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高中低</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出谋献策，促进县域经济健康有序发展</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优良中低差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公众满意度</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bl>
    <w:p>
      <w:pPr>
        <w:pStyle w:val="15"/>
        <w:ind w:left="0" w:leftChars="0" w:firstLine="0" w:firstLineChars="0"/>
        <w:jc w:val="center"/>
        <w:rPr>
          <w:rFonts w:hint="eastAsia" w:ascii="宋体" w:hAnsi="宋体" w:eastAsia="宋体" w:cs="宋体"/>
          <w:b/>
          <w:bCs/>
          <w:sz w:val="24"/>
          <w:szCs w:val="24"/>
          <w:highlight w:val="none"/>
          <w:lang w:val="en-US" w:eastAsia="zh-CN"/>
        </w:rPr>
      </w:pPr>
    </w:p>
    <w:p>
      <w:pPr>
        <w:pStyle w:val="6"/>
        <w:spacing w:before="93"/>
        <w:rPr>
          <w:rFonts w:hAnsi="Calibri" w:cs="仿宋"/>
          <w:sz w:val="32"/>
          <w:szCs w:val="32"/>
        </w:rPr>
      </w:pPr>
    </w:p>
    <w:p>
      <w:pPr>
        <w:rPr>
          <w:rFonts w:hAnsi="Calibri" w:cs="仿宋"/>
          <w:sz w:val="32"/>
          <w:szCs w:val="32"/>
        </w:rPr>
      </w:pPr>
    </w:p>
    <w:p>
      <w:pPr>
        <w:pStyle w:val="5"/>
        <w:rPr>
          <w:rFonts w:hAnsi="Calibri" w:cs="仿宋"/>
          <w:sz w:val="32"/>
          <w:szCs w:val="32"/>
        </w:rPr>
      </w:pPr>
    </w:p>
    <w:p>
      <w:pPr>
        <w:rPr>
          <w:rFonts w:hAnsi="Calibri" w:cs="仿宋"/>
          <w:sz w:val="32"/>
          <w:szCs w:val="32"/>
        </w:rPr>
      </w:pPr>
    </w:p>
    <w:p>
      <w:pPr>
        <w:pStyle w:val="5"/>
        <w:rPr>
          <w:rFonts w:hAnsi="Calibri" w:cs="仿宋"/>
          <w:sz w:val="32"/>
          <w:szCs w:val="32"/>
        </w:rPr>
      </w:pPr>
    </w:p>
    <w:p>
      <w:pPr>
        <w:rPr>
          <w:rFonts w:hAnsi="Calibri" w:cs="仿宋"/>
          <w:sz w:val="32"/>
          <w:szCs w:val="32"/>
        </w:rPr>
        <w:sectPr>
          <w:pgSz w:w="16838" w:h="11906" w:orient="landscape"/>
          <w:pgMar w:top="1800" w:right="1440" w:bottom="1800" w:left="1440" w:header="851" w:footer="992" w:gutter="0"/>
          <w:pgNumType w:start="1"/>
          <w:cols w:space="425" w:num="1"/>
          <w:titlePg/>
          <w:docGrid w:type="lines" w:linePitch="312" w:charSpace="0"/>
        </w:sectPr>
      </w:pPr>
    </w:p>
    <w:p>
      <w:pPr>
        <w:outlineLvl w:val="1"/>
        <w:rPr>
          <w:rFonts w:ascii="黑体" w:hAnsi="黑体" w:eastAsia="黑体"/>
          <w:sz w:val="32"/>
          <w:szCs w:val="32"/>
        </w:rPr>
      </w:pPr>
      <w:bookmarkStart w:id="92" w:name="_Toc68715560"/>
      <w:bookmarkStart w:id="93" w:name="_Toc1142233337"/>
      <w:r>
        <w:rPr>
          <w:rFonts w:hint="eastAsia" w:ascii="黑体" w:hAnsi="黑体" w:eastAsia="黑体"/>
          <w:sz w:val="32"/>
          <w:szCs w:val="32"/>
        </w:rPr>
        <w:t>附件2</w:t>
      </w:r>
      <w:bookmarkEnd w:id="92"/>
      <w:bookmarkEnd w:id="93"/>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泸县统计部门专项预算项目绩效评价报告</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（2021年“四上企业“及农业规模场统计人员工作补贴项目）</w:t>
      </w:r>
    </w:p>
    <w:p>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一、</w:t>
      </w:r>
      <w:r>
        <w:rPr>
          <w:rFonts w:hint="eastAsia" w:ascii="仿宋_GB2312" w:hAnsi="Calibri" w:eastAsia="仿宋_GB2312" w:cs="仿宋"/>
          <w:b/>
          <w:bCs/>
          <w:color w:val="000000"/>
          <w:kern w:val="0"/>
          <w:sz w:val="32"/>
          <w:szCs w:val="32"/>
          <w:lang w:val="zh-CN" w:eastAsia="zh-CN" w:bidi="ar-SA"/>
        </w:rPr>
        <w:t>项目概况</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（一）设立背景及基本情况。</w:t>
      </w:r>
      <w:r>
        <w:rPr>
          <w:rFonts w:hint="eastAsia" w:ascii="仿宋_GB2312" w:hAnsi="Calibri" w:eastAsia="仿宋_GB2312" w:cs="仿宋"/>
          <w:color w:val="000000"/>
          <w:kern w:val="0"/>
          <w:sz w:val="32"/>
          <w:szCs w:val="32"/>
          <w:lang w:val="en-US" w:eastAsia="zh-CN" w:bidi="ar-SA"/>
        </w:rPr>
        <w:t>2020年，县发改局、经信局、商务局、住建局和统计局联合发文（泸县统发[2020]10号），为调动“四上”企业及农业规模场统计人员工作积极性、主动性、创造性，强化统计基层基础建设，提高统计数据质量，制定“四上”企业及农业规模场统计人员工作补贴实施方案，为全县400余家“四上”企业及农业规模场统计人员发放工作补贴。本项目属于专项统计业务</w:t>
      </w:r>
      <w:r>
        <w:rPr>
          <w:rFonts w:hint="eastAsia" w:ascii="仿宋_GB2312" w:hAnsi="Calibri" w:eastAsia="仿宋_GB2312" w:cs="仿宋"/>
          <w:color w:val="000000"/>
          <w:kern w:val="0"/>
          <w:sz w:val="32"/>
          <w:szCs w:val="32"/>
          <w:lang w:val="zh-CN" w:eastAsia="zh-CN" w:bidi="ar-SA"/>
        </w:rPr>
        <w:t>项目，由县统计局负责实施。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（二）</w:t>
      </w:r>
      <w:r>
        <w:rPr>
          <w:rFonts w:hint="default" w:ascii="仿宋_GB2312" w:hAnsi="Calibri" w:eastAsia="仿宋_GB2312" w:cs="仿宋"/>
          <w:b/>
          <w:bCs/>
          <w:color w:val="000000"/>
          <w:kern w:val="0"/>
          <w:sz w:val="32"/>
          <w:szCs w:val="32"/>
          <w:lang w:val="en-US" w:eastAsia="zh-CN" w:bidi="ar-SA"/>
        </w:rPr>
        <w:t>实施目的及支持方向</w:t>
      </w:r>
      <w:r>
        <w:rPr>
          <w:rFonts w:hint="eastAsia" w:ascii="仿宋_GB2312" w:hAnsi="Calibri" w:eastAsia="仿宋_GB2312" w:cs="仿宋"/>
          <w:b/>
          <w:bCs/>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本次项目资金共计101.76万元，用于发放2021年“四上企业“及农业规模场统计人员工作补贴。目的是调动全县所有“四上”企业及农业规模场统计人员工作积极性、主动性、创造性，强化统计基层基础建设，提高统计数据质量。</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en-US" w:eastAsia="zh-CN" w:bidi="ar-SA"/>
        </w:rPr>
        <w:t>预算安排及分配管理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本次财政安排项目预算资金</w:t>
      </w:r>
      <w:r>
        <w:rPr>
          <w:rFonts w:hint="eastAsia" w:ascii="仿宋_GB2312" w:hAnsi="Calibri" w:eastAsia="仿宋_GB2312" w:cs="仿宋"/>
          <w:color w:val="000000"/>
          <w:kern w:val="0"/>
          <w:sz w:val="32"/>
          <w:szCs w:val="32"/>
          <w:lang w:val="en-US" w:eastAsia="zh-CN" w:bidi="ar-SA"/>
        </w:rPr>
        <w:t>共计101.76万元，主要采用因素法进行分配和管理资金。</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（四）项目绩效目标设置。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项目涉及农业规模场6家，“四上”企业421家，覆盖20个镇（街道），实施后全县统计人员增加收入101.76万元，调查对象满意度大于90%，经济成本101.76万元。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二、评价实施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（一）评价目的。</w:t>
      </w:r>
      <w:r>
        <w:rPr>
          <w:rFonts w:hint="eastAsia" w:ascii="仿宋_GB2312" w:hAnsi="Calibri" w:eastAsia="仿宋_GB2312" w:cs="仿宋"/>
          <w:color w:val="000000"/>
          <w:kern w:val="0"/>
          <w:sz w:val="32"/>
          <w:szCs w:val="32"/>
          <w:lang w:val="en-US" w:eastAsia="zh-CN" w:bidi="ar-SA"/>
        </w:rPr>
        <w:t>通过项目绩效自评，确保项目决策程序合法、规划论证有理有据、资金投向正确；项目管理规范，资金分配科学合理，绩效目标完整准确；项目实施进度合理，预算执行率达到预期，资金到位率、使用情况良好；项目按时保质保量完成。</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（二）预设问题及评价重点。</w:t>
      </w:r>
      <w:r>
        <w:rPr>
          <w:rFonts w:hint="eastAsia" w:ascii="仿宋_GB2312" w:hAnsi="Calibri" w:eastAsia="仿宋_GB2312" w:cs="仿宋"/>
          <w:color w:val="000000"/>
          <w:kern w:val="0"/>
          <w:sz w:val="32"/>
          <w:szCs w:val="32"/>
          <w:lang w:val="en-US" w:eastAsia="zh-CN" w:bidi="ar-SA"/>
        </w:rPr>
        <w:t>按照统计抽样调查</w:t>
      </w:r>
      <w:r>
        <w:rPr>
          <w:rFonts w:hint="default" w:ascii="仿宋_GB2312" w:hAnsi="Calibri" w:eastAsia="仿宋_GB2312" w:cs="仿宋"/>
          <w:color w:val="000000"/>
          <w:kern w:val="0"/>
          <w:sz w:val="32"/>
          <w:szCs w:val="32"/>
          <w:lang w:val="en-US" w:eastAsia="zh-CN" w:bidi="ar-SA"/>
        </w:rPr>
        <w:t>专项资金</w:t>
      </w:r>
      <w:r>
        <w:rPr>
          <w:rFonts w:hint="eastAsia" w:ascii="仿宋_GB2312" w:hAnsi="Calibri" w:eastAsia="仿宋_GB2312" w:cs="仿宋"/>
          <w:color w:val="000000"/>
          <w:kern w:val="0"/>
          <w:sz w:val="32"/>
          <w:szCs w:val="32"/>
          <w:lang w:val="en-US" w:eastAsia="zh-CN" w:bidi="ar-SA"/>
        </w:rPr>
        <w:t>绩效考评相关文件要求，对项目实施和验收情况实事求是开展自评工作，并完成自评报告。重点就项目决策、项目管理、项目实施、项目结果、民生保障等方面开展自评。</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（三）评价选点。</w:t>
      </w:r>
      <w:r>
        <w:rPr>
          <w:rFonts w:hint="eastAsia" w:ascii="仿宋_GB2312" w:hAnsi="Calibri" w:eastAsia="仿宋_GB2312" w:cs="仿宋"/>
          <w:color w:val="000000"/>
          <w:kern w:val="0"/>
          <w:sz w:val="32"/>
          <w:szCs w:val="32"/>
          <w:lang w:val="zh-CN" w:eastAsia="zh-CN" w:bidi="ar-SA"/>
        </w:rPr>
        <w:t>对项目进行全方位全覆盖评价。</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（四）评价方法。</w:t>
      </w:r>
      <w:r>
        <w:rPr>
          <w:rFonts w:hint="eastAsia" w:ascii="仿宋_GB2312" w:hAnsi="Calibri" w:eastAsia="仿宋_GB2312" w:cs="仿宋"/>
          <w:color w:val="000000"/>
          <w:kern w:val="0"/>
          <w:sz w:val="32"/>
          <w:szCs w:val="32"/>
          <w:lang w:val="zh-CN" w:eastAsia="zh-CN" w:bidi="ar-SA"/>
        </w:rPr>
        <w:t>该项目</w:t>
      </w:r>
      <w:r>
        <w:rPr>
          <w:rFonts w:hint="eastAsia" w:ascii="仿宋_GB2312" w:hAnsi="Calibri" w:eastAsia="仿宋_GB2312" w:cs="仿宋"/>
          <w:color w:val="000000"/>
          <w:kern w:val="0"/>
          <w:sz w:val="32"/>
          <w:szCs w:val="32"/>
          <w:lang w:val="en-US" w:eastAsia="zh-CN" w:bidi="ar-SA"/>
        </w:rPr>
        <w:t>采用成本效益分析法、单位自评法开展评价工作。</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（五）评价组织。</w:t>
      </w:r>
      <w:r>
        <w:rPr>
          <w:rFonts w:hint="eastAsia" w:ascii="仿宋_GB2312" w:hAnsi="Calibri" w:eastAsia="仿宋_GB2312" w:cs="仿宋"/>
          <w:color w:val="000000"/>
          <w:kern w:val="0"/>
          <w:sz w:val="32"/>
          <w:szCs w:val="32"/>
          <w:lang w:val="en-US" w:eastAsia="zh-CN" w:bidi="ar-SA"/>
        </w:rPr>
        <w:t>本次评价组由财务负责人任组长，财务会计和项目业务股室负责人为成员。组长负责牵头组织、督促评价工作顺利开展，财务会计与项目业务股室负责人分工合作，共同形成自评表和自评报告。</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三、绩效分析</w:t>
      </w:r>
      <w:r>
        <w:rPr>
          <w:rFonts w:hint="eastAsia" w:ascii="仿宋_GB2312" w:hAnsi="Calibri" w:eastAsia="仿宋_GB2312" w:cs="仿宋"/>
          <w:b/>
          <w:bCs/>
          <w:color w:val="000000"/>
          <w:kern w:val="0"/>
          <w:sz w:val="32"/>
          <w:szCs w:val="32"/>
          <w:lang w:val="zh-CN" w:eastAsia="zh-CN" w:bidi="ar-SA"/>
        </w:rPr>
        <w:tab/>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w:t>
      </w:r>
      <w:r>
        <w:rPr>
          <w:rFonts w:hint="eastAsia" w:ascii="仿宋_GB2312" w:hAnsi="Calibri" w:eastAsia="仿宋_GB2312" w:cs="仿宋"/>
          <w:b/>
          <w:bCs/>
          <w:color w:val="000000"/>
          <w:kern w:val="0"/>
          <w:sz w:val="32"/>
          <w:szCs w:val="32"/>
          <w:lang w:val="en-US" w:eastAsia="zh-CN" w:bidi="ar-SA"/>
        </w:rPr>
        <w:t>通用指标</w:t>
      </w:r>
      <w:r>
        <w:rPr>
          <w:rFonts w:hint="default" w:ascii="仿宋_GB2312" w:hAnsi="Calibri" w:eastAsia="仿宋_GB2312" w:cs="仿宋"/>
          <w:b/>
          <w:bCs/>
          <w:color w:val="000000"/>
          <w:kern w:val="0"/>
          <w:sz w:val="32"/>
          <w:szCs w:val="32"/>
          <w:lang w:val="zh-CN" w:eastAsia="zh-CN" w:bidi="ar-SA"/>
        </w:rPr>
        <w:t>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1.项目决策。</w:t>
      </w:r>
      <w:r>
        <w:rPr>
          <w:rFonts w:hint="eastAsia" w:ascii="仿宋_GB2312" w:hAnsi="Calibri" w:eastAsia="仿宋_GB2312" w:cs="仿宋"/>
          <w:color w:val="000000"/>
          <w:kern w:val="0"/>
          <w:sz w:val="32"/>
          <w:szCs w:val="32"/>
          <w:lang w:val="en-US" w:eastAsia="zh-CN" w:bidi="ar-SA"/>
        </w:rPr>
        <w:t>该项目决策程序合法、规划论证有据、资金投向精准。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2.项目管理。</w:t>
      </w:r>
      <w:r>
        <w:rPr>
          <w:rFonts w:hint="eastAsia" w:ascii="仿宋_GB2312" w:hAnsi="Calibri" w:eastAsia="仿宋_GB2312" w:cs="仿宋"/>
          <w:color w:val="000000"/>
          <w:kern w:val="0"/>
          <w:sz w:val="32"/>
          <w:szCs w:val="32"/>
          <w:lang w:val="en-US" w:eastAsia="zh-CN" w:bidi="ar-SA"/>
        </w:rPr>
        <w:t>该项目制度办法较完善、资金分配管理规范、绩效监管严密。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3.项目实施。</w:t>
      </w:r>
      <w:r>
        <w:rPr>
          <w:rFonts w:hint="eastAsia" w:ascii="仿宋_GB2312" w:hAnsi="Calibri" w:eastAsia="仿宋_GB2312" w:cs="仿宋"/>
          <w:color w:val="000000"/>
          <w:kern w:val="0"/>
          <w:sz w:val="32"/>
          <w:szCs w:val="32"/>
          <w:lang w:val="en-US" w:eastAsia="zh-CN" w:bidi="ar-SA"/>
        </w:rPr>
        <w:t>该项目预算</w:t>
      </w:r>
      <w:r>
        <w:rPr>
          <w:rFonts w:hint="eastAsia" w:ascii="仿宋_GB2312" w:hAnsi="Calibri" w:eastAsia="仿宋_GB2312" w:cs="仿宋"/>
          <w:color w:val="000000"/>
          <w:kern w:val="0"/>
          <w:sz w:val="32"/>
          <w:szCs w:val="32"/>
          <w:lang w:val="zh-CN" w:eastAsia="zh-CN" w:bidi="ar-SA"/>
        </w:rPr>
        <w:t>执行率</w:t>
      </w:r>
      <w:r>
        <w:rPr>
          <w:rFonts w:hint="eastAsia" w:ascii="仿宋_GB2312" w:hAnsi="Calibri" w:eastAsia="仿宋_GB2312" w:cs="仿宋"/>
          <w:color w:val="000000"/>
          <w:kern w:val="0"/>
          <w:sz w:val="32"/>
          <w:szCs w:val="32"/>
          <w:lang w:val="en-US" w:eastAsia="zh-CN" w:bidi="ar-SA"/>
        </w:rPr>
        <w:t>100%、资金使用情况良好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4.项目结果。</w:t>
      </w:r>
      <w:r>
        <w:rPr>
          <w:rFonts w:hint="eastAsia" w:ascii="仿宋_GB2312" w:hAnsi="Calibri" w:eastAsia="仿宋_GB2312" w:cs="仿宋"/>
          <w:color w:val="000000"/>
          <w:kern w:val="0"/>
          <w:sz w:val="32"/>
          <w:szCs w:val="32"/>
          <w:lang w:val="en-US" w:eastAsia="zh-CN" w:bidi="ar-SA"/>
        </w:rPr>
        <w:t>该项目按时保质保量完成目标。</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（二）</w:t>
      </w:r>
      <w:r>
        <w:rPr>
          <w:rFonts w:hint="eastAsia" w:ascii="仿宋_GB2312" w:hAnsi="Calibri" w:eastAsia="仿宋_GB2312" w:cs="仿宋"/>
          <w:b/>
          <w:bCs/>
          <w:color w:val="000000"/>
          <w:kern w:val="0"/>
          <w:sz w:val="32"/>
          <w:szCs w:val="32"/>
          <w:lang w:val="en-US" w:eastAsia="zh-CN" w:bidi="ar-SA"/>
        </w:rPr>
        <w:t>专用指标</w:t>
      </w:r>
      <w:r>
        <w:rPr>
          <w:rFonts w:hint="default" w:ascii="仿宋_GB2312" w:hAnsi="Calibri" w:eastAsia="仿宋_GB2312" w:cs="仿宋"/>
          <w:b/>
          <w:bCs/>
          <w:color w:val="000000"/>
          <w:kern w:val="0"/>
          <w:sz w:val="32"/>
          <w:szCs w:val="32"/>
          <w:lang w:val="zh-CN" w:eastAsia="zh-CN" w:bidi="ar-SA"/>
        </w:rPr>
        <w:t>绩效分析</w:t>
      </w:r>
      <w:r>
        <w:rPr>
          <w:rFonts w:hint="default" w:ascii="仿宋_GB2312" w:hAnsi="Calibri" w:eastAsia="仿宋_GB2312" w:cs="仿宋"/>
          <w:color w:val="000000"/>
          <w:kern w:val="0"/>
          <w:sz w:val="32"/>
          <w:szCs w:val="32"/>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民生保障。</w:t>
      </w:r>
      <w:r>
        <w:rPr>
          <w:rFonts w:hint="eastAsia" w:ascii="仿宋_GB2312" w:hAnsi="Calibri" w:eastAsia="仿宋_GB2312" w:cs="仿宋"/>
          <w:color w:val="000000"/>
          <w:kern w:val="0"/>
          <w:sz w:val="32"/>
          <w:szCs w:val="32"/>
          <w:lang w:val="en-US" w:eastAsia="zh-CN" w:bidi="ar-SA"/>
        </w:rPr>
        <w:t>该项目属于民生保障项目，资金分配区域均衡，对象精准，标准合理有据，调查对象满意度、政府部门满意度高，项目完成较好。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（三）</w:t>
      </w:r>
      <w:r>
        <w:rPr>
          <w:rFonts w:hint="eastAsia" w:ascii="仿宋_GB2312" w:hAnsi="Calibri" w:eastAsia="仿宋_GB2312" w:cs="仿宋"/>
          <w:b/>
          <w:bCs/>
          <w:color w:val="000000"/>
          <w:kern w:val="0"/>
          <w:sz w:val="32"/>
          <w:szCs w:val="32"/>
          <w:lang w:val="en-US" w:eastAsia="zh-CN" w:bidi="ar-SA"/>
        </w:rPr>
        <w:t>个性指标</w:t>
      </w:r>
      <w:r>
        <w:rPr>
          <w:rFonts w:hint="default" w:ascii="仿宋_GB2312" w:hAnsi="Calibri" w:eastAsia="仿宋_GB2312" w:cs="仿宋"/>
          <w:b/>
          <w:bCs/>
          <w:color w:val="000000"/>
          <w:kern w:val="0"/>
          <w:sz w:val="32"/>
          <w:szCs w:val="32"/>
          <w:lang w:val="zh-CN" w:eastAsia="zh-CN" w:bidi="ar-SA"/>
        </w:rPr>
        <w:t>绩效分析。</w:t>
      </w:r>
      <w:r>
        <w:rPr>
          <w:rFonts w:hint="eastAsia" w:ascii="仿宋_GB2312" w:hAnsi="Calibri" w:eastAsia="仿宋_GB2312" w:cs="仿宋"/>
          <w:color w:val="000000"/>
          <w:kern w:val="0"/>
          <w:sz w:val="32"/>
          <w:szCs w:val="32"/>
          <w:lang w:val="zh-CN" w:eastAsia="zh-CN" w:bidi="ar-SA"/>
        </w:rPr>
        <w:t>该项目切实保障民生，促进经济社会高质量发展；成本低，效益好，群众满意度高。</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四、评价结论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决策程序合法、规划论证有理有据、资金投向正确；项目管理规范，资金分配科学合理，绩效目标完整准确；项目实施进度合理，预算执行率达到预期，资金到位率、使用情况良好；项目按时保质保量完成。自评得分：95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五、存在主要问题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六、改进建议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 w:eastAsia="zh-CN" w:bidi="ar-SA"/>
        </w:rPr>
      </w:pPr>
      <w:r>
        <w:rPr>
          <w:rFonts w:hint="eastAsia" w:ascii="仿宋_GB2312" w:hAnsi="Calibri" w:eastAsia="仿宋_GB2312" w:cs="仿宋"/>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附表：专项预算项目绩效目标完成情况自评表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sectPr>
          <w:pgSz w:w="11906" w:h="16838"/>
          <w:pgMar w:top="1440" w:right="1800" w:bottom="1440" w:left="1800" w:header="851" w:footer="992" w:gutter="0"/>
          <w:pgNumType w:start="1"/>
          <w:cols w:space="425" w:num="1"/>
          <w:titlePg/>
          <w:docGrid w:type="lines" w:linePitch="312" w:charSpace="0"/>
        </w:sectPr>
      </w:pPr>
    </w:p>
    <w:p>
      <w:pPr>
        <w:pStyle w:val="15"/>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w:t>
      </w: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90"/>
        <w:gridCol w:w="1407"/>
        <w:gridCol w:w="1776"/>
        <w:gridCol w:w="1796"/>
        <w:gridCol w:w="1539"/>
        <w:gridCol w:w="1326"/>
        <w:gridCol w:w="1449"/>
        <w:gridCol w:w="1281"/>
        <w:gridCol w:w="125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5000" w:type="pct"/>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0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2021年“四上企业“及农业规模场统计人员工作补贴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20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泸县统计局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0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短期项目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项目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概况</w:t>
            </w: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2021年“四上企业“及农业规模场统计人员工作补贴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立项依据</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泸县统发[2020]10号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项目相关工作经费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短期项目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2023</w:t>
            </w:r>
            <w:r>
              <w:rPr>
                <w:rFonts w:ascii="宋体" w:hAnsi="宋体" w:eastAsia="宋体" w:cs="宋体"/>
                <w:i w:val="0"/>
                <w:color w:val="000000"/>
                <w:kern w:val="0"/>
                <w:sz w:val="24"/>
                <w:szCs w:val="24"/>
                <w:u w:val="none"/>
                <w:lang w:val="en-US" w:eastAsia="zh-CN" w:bidi="ar"/>
              </w:rPr>
              <w:t>年度资金总额：</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总体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目标</w:t>
            </w:r>
          </w:p>
        </w:tc>
        <w:tc>
          <w:tcPr>
            <w:tcW w:w="46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6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调动“四上”企业及农业规模场报表积极性，强化统计基层基础建设。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绩效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63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涉及农业规模场数量</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63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涉及“四上”企业数量</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421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421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63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涉及镇（解冻啊）</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全县“四上”企业统计人员增加收入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101.76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万元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101.76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63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调查对象满意度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641" w:type="pc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安排资金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101.76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万元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101.76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w:t>
            </w:r>
          </w:p>
        </w:tc>
      </w:tr>
    </w:tbl>
    <w:p>
      <w:pPr>
        <w:pStyle w:val="15"/>
        <w:ind w:left="0" w:leftChars="0" w:firstLine="0" w:firstLineChars="0"/>
        <w:rPr>
          <w:rFonts w:hint="default" w:ascii="黑体" w:hAnsi="黑体" w:eastAsia="黑体" w:cs="黑体"/>
          <w:sz w:val="24"/>
          <w:szCs w:val="24"/>
          <w:highlight w:val="none"/>
          <w:lang w:val="en-US" w:eastAsia="zh-CN"/>
        </w:rPr>
      </w:pPr>
    </w:p>
    <w:p>
      <w:pPr>
        <w:pStyle w:val="5"/>
        <w:rPr>
          <w:rFonts w:hAnsi="Calibri" w:cs="仿宋"/>
          <w:sz w:val="32"/>
          <w:szCs w:val="32"/>
        </w:rPr>
      </w:pPr>
    </w:p>
    <w:p>
      <w:pPr>
        <w:rPr>
          <w:rFonts w:hAnsi="Calibri" w:cs="仿宋"/>
          <w:sz w:val="32"/>
          <w:szCs w:val="32"/>
        </w:rPr>
      </w:pPr>
    </w:p>
    <w:p>
      <w:pPr>
        <w:rPr>
          <w:rFonts w:hAnsi="Calibri" w:cs="仿宋"/>
          <w:sz w:val="32"/>
          <w:szCs w:val="32"/>
        </w:rPr>
      </w:pPr>
    </w:p>
    <w:p>
      <w:pPr>
        <w:rPr>
          <w:rFonts w:hAnsi="Calibri" w:cs="仿宋"/>
          <w:sz w:val="32"/>
          <w:szCs w:val="32"/>
        </w:rPr>
      </w:pPr>
    </w:p>
    <w:p>
      <w:pPr>
        <w:rPr>
          <w:rFonts w:hAnsi="Calibri" w:cs="仿宋"/>
          <w:sz w:val="32"/>
          <w:szCs w:val="32"/>
        </w:rPr>
      </w:pPr>
    </w:p>
    <w:p>
      <w:pPr>
        <w:rPr>
          <w:rFonts w:hAnsi="Calibri" w:cs="仿宋"/>
          <w:sz w:val="32"/>
          <w:szCs w:val="32"/>
        </w:rPr>
      </w:pPr>
    </w:p>
    <w:p>
      <w:pPr>
        <w:rPr>
          <w:rFonts w:hAnsi="Calibri" w:cs="仿宋"/>
          <w:sz w:val="32"/>
          <w:szCs w:val="32"/>
        </w:rPr>
        <w:sectPr>
          <w:pgSz w:w="16838" w:h="11906" w:orient="landscape"/>
          <w:pgMar w:top="1800" w:right="1440" w:bottom="1800" w:left="1440" w:header="851" w:footer="992" w:gutter="0"/>
          <w:pgNumType w:start="1"/>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1"/>
        <w:rPr>
          <w:rFonts w:hint="eastAsia" w:ascii="仿宋_GB2312" w:hAnsi="Calibri" w:eastAsia="仿宋_GB2312" w:cs="仿宋"/>
          <w:color w:val="000000"/>
          <w:kern w:val="0"/>
          <w:sz w:val="32"/>
          <w:szCs w:val="32"/>
          <w:lang w:val="en-US" w:eastAsia="zh-CN" w:bidi="ar-SA"/>
        </w:rPr>
      </w:pPr>
      <w:bookmarkStart w:id="94" w:name="_Toc383655501"/>
      <w:bookmarkStart w:id="95" w:name="_Toc1305984775"/>
      <w:r>
        <w:rPr>
          <w:rFonts w:hint="eastAsia" w:ascii="仿宋_GB2312" w:hAnsi="Calibri" w:eastAsia="仿宋_GB2312" w:cs="仿宋"/>
          <w:color w:val="000000"/>
          <w:kern w:val="0"/>
          <w:sz w:val="32"/>
          <w:szCs w:val="32"/>
          <w:lang w:val="zh-CN" w:eastAsia="zh-CN" w:bidi="ar-SA"/>
        </w:rPr>
        <w:t>附件</w:t>
      </w:r>
      <w:r>
        <w:rPr>
          <w:rFonts w:hint="eastAsia" w:ascii="仿宋_GB2312" w:hAnsi="Calibri" w:eastAsia="仿宋_GB2312" w:cs="仿宋"/>
          <w:color w:val="000000"/>
          <w:kern w:val="0"/>
          <w:sz w:val="32"/>
          <w:szCs w:val="32"/>
          <w:lang w:val="en-US" w:eastAsia="zh-CN" w:bidi="ar-SA"/>
        </w:rPr>
        <w:t>3</w:t>
      </w:r>
      <w:bookmarkEnd w:id="94"/>
      <w:bookmarkEnd w:id="95"/>
    </w:p>
    <w:p>
      <w:pPr>
        <w:rPr>
          <w:rFonts w:hint="eastAsia"/>
          <w:lang w:val="en-US" w:eastAsia="zh-CN"/>
        </w:rPr>
      </w:pP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泸县统计部门专项预算项目绩效评价报告</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（第五次全国经济普查各级经费补助项目）</w:t>
      </w:r>
    </w:p>
    <w:p>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一、</w:t>
      </w:r>
      <w:r>
        <w:rPr>
          <w:rFonts w:hint="eastAsia" w:ascii="仿宋_GB2312" w:hAnsi="Calibri" w:eastAsia="仿宋_GB2312" w:cs="仿宋"/>
          <w:b/>
          <w:bCs/>
          <w:color w:val="000000"/>
          <w:kern w:val="0"/>
          <w:sz w:val="32"/>
          <w:szCs w:val="32"/>
          <w:lang w:val="zh-CN" w:eastAsia="zh-CN" w:bidi="ar-SA"/>
        </w:rPr>
        <w:t>项目概况</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（一）设立背景及基本情况。</w:t>
      </w:r>
      <w:r>
        <w:rPr>
          <w:rFonts w:hint="eastAsia" w:ascii="仿宋_GB2312" w:hAnsi="Calibri" w:eastAsia="仿宋_GB2312" w:cs="仿宋"/>
          <w:color w:val="000000"/>
          <w:kern w:val="0"/>
          <w:sz w:val="32"/>
          <w:szCs w:val="32"/>
          <w:lang w:val="en-US" w:eastAsia="zh-CN" w:bidi="ar-SA"/>
        </w:rPr>
        <w:t>泸县第五次全国经济普查和第八次投入产出调查合并开展，2023年为普查前期准备、单位清查等阶段。本项目经费为省级划拨经费，用于“五经普”两员劳动报酬经费保障。文件依据为川财预[2023]83号。</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本项目属于专项普查业务项目，由县统计局负责实施。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（二）</w:t>
      </w:r>
      <w:r>
        <w:rPr>
          <w:rFonts w:hint="default" w:ascii="仿宋_GB2312" w:hAnsi="Calibri" w:eastAsia="仿宋_GB2312" w:cs="仿宋"/>
          <w:b/>
          <w:bCs/>
          <w:color w:val="000000"/>
          <w:kern w:val="0"/>
          <w:sz w:val="32"/>
          <w:szCs w:val="32"/>
          <w:lang w:val="en-US" w:eastAsia="zh-CN" w:bidi="ar-SA"/>
        </w:rPr>
        <w:t>实施目的及支持方向</w:t>
      </w:r>
      <w:r>
        <w:rPr>
          <w:rFonts w:hint="eastAsia" w:ascii="仿宋_GB2312" w:hAnsi="Calibri" w:eastAsia="仿宋_GB2312" w:cs="仿宋"/>
          <w:b/>
          <w:bCs/>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本次项目资金共计59万元，用于“五经普”单位清查阶段两员劳动报酬补助发放，确保“五经普”前期准备工作顺利实施。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en-US" w:eastAsia="zh-CN" w:bidi="ar-SA"/>
        </w:rPr>
        <w:t>预算安排及分配管理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本次财政安排项目预算资金</w:t>
      </w:r>
      <w:r>
        <w:rPr>
          <w:rFonts w:hint="eastAsia" w:ascii="仿宋_GB2312" w:hAnsi="Calibri" w:eastAsia="仿宋_GB2312" w:cs="仿宋"/>
          <w:color w:val="000000"/>
          <w:kern w:val="0"/>
          <w:sz w:val="32"/>
          <w:szCs w:val="32"/>
          <w:lang w:val="en-US" w:eastAsia="zh-CN" w:bidi="ar-SA"/>
        </w:rPr>
        <w:t>共计59万元，用于“五经普”单位清查阶段两员劳动报酬补助发放。主要采用因素法进行分配和管理资金。</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（四）项目绩效目标设置。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第五次全国经济普查各级经费补助项目单位清查阶段采集个体经营户数量57989户，采集单位数量10973户，补贴发放率100%，为全县增加直接经济效益59万元。项目可持续性强，每五年一次，每次历时三年。调查对象满意度和政府、部门满意度均大于90%，经济成本59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二、评价实施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（一）评价目的。</w:t>
      </w:r>
      <w:r>
        <w:rPr>
          <w:rFonts w:hint="eastAsia" w:ascii="仿宋_GB2312" w:hAnsi="Calibri" w:eastAsia="仿宋_GB2312" w:cs="仿宋"/>
          <w:color w:val="000000"/>
          <w:kern w:val="0"/>
          <w:sz w:val="32"/>
          <w:szCs w:val="32"/>
          <w:lang w:val="en-US" w:eastAsia="zh-CN" w:bidi="ar-SA"/>
        </w:rPr>
        <w:t>通过项目绩效自评，确保项目决策程序合法、规划论证有理有据、资金投向正确；项目管理规范，资金分配科学合理，绩效目标完整准确；项目实施进度合理，预算执行率达到预期，资金到位率、使用情况良好；项目按时保质保量完成。</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（二）预设问题及评价重点。</w:t>
      </w:r>
      <w:r>
        <w:rPr>
          <w:rFonts w:hint="eastAsia" w:ascii="仿宋_GB2312" w:hAnsi="Calibri" w:eastAsia="仿宋_GB2312" w:cs="仿宋"/>
          <w:color w:val="000000"/>
          <w:kern w:val="0"/>
          <w:sz w:val="32"/>
          <w:szCs w:val="32"/>
          <w:lang w:val="en-US" w:eastAsia="zh-CN" w:bidi="ar-SA"/>
        </w:rPr>
        <w:t>按照统计抽样调查</w:t>
      </w:r>
      <w:r>
        <w:rPr>
          <w:rFonts w:hint="default" w:ascii="仿宋_GB2312" w:hAnsi="Calibri" w:eastAsia="仿宋_GB2312" w:cs="仿宋"/>
          <w:color w:val="000000"/>
          <w:kern w:val="0"/>
          <w:sz w:val="32"/>
          <w:szCs w:val="32"/>
          <w:lang w:val="en-US" w:eastAsia="zh-CN" w:bidi="ar-SA"/>
        </w:rPr>
        <w:t>专项资金</w:t>
      </w:r>
      <w:r>
        <w:rPr>
          <w:rFonts w:hint="eastAsia" w:ascii="仿宋_GB2312" w:hAnsi="Calibri" w:eastAsia="仿宋_GB2312" w:cs="仿宋"/>
          <w:color w:val="000000"/>
          <w:kern w:val="0"/>
          <w:sz w:val="32"/>
          <w:szCs w:val="32"/>
          <w:lang w:val="en-US" w:eastAsia="zh-CN" w:bidi="ar-SA"/>
        </w:rPr>
        <w:t>绩效考评相关文件要求，对项目实施和验收情况实事求是开展自评工作，并完成自评报告。重点就项目决策、项目管理、项目实施、项目结果、民生保障等方面开展自评。</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（三）评价选点。</w:t>
      </w:r>
      <w:r>
        <w:rPr>
          <w:rFonts w:hint="eastAsia" w:ascii="仿宋_GB2312" w:hAnsi="Calibri" w:eastAsia="仿宋_GB2312" w:cs="仿宋"/>
          <w:color w:val="000000"/>
          <w:kern w:val="0"/>
          <w:sz w:val="32"/>
          <w:szCs w:val="32"/>
          <w:lang w:val="zh-CN" w:eastAsia="zh-CN" w:bidi="ar-SA"/>
        </w:rPr>
        <w:t>对项目进行全方位全覆盖评价。</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（四）评价方法。</w:t>
      </w:r>
      <w:r>
        <w:rPr>
          <w:rFonts w:hint="eastAsia" w:ascii="仿宋_GB2312" w:hAnsi="Calibri" w:eastAsia="仿宋_GB2312" w:cs="仿宋"/>
          <w:color w:val="000000"/>
          <w:kern w:val="0"/>
          <w:sz w:val="32"/>
          <w:szCs w:val="32"/>
          <w:lang w:val="zh-CN" w:eastAsia="zh-CN" w:bidi="ar-SA"/>
        </w:rPr>
        <w:t>该项目</w:t>
      </w:r>
      <w:r>
        <w:rPr>
          <w:rFonts w:hint="eastAsia" w:ascii="仿宋_GB2312" w:hAnsi="Calibri" w:eastAsia="仿宋_GB2312" w:cs="仿宋"/>
          <w:color w:val="000000"/>
          <w:kern w:val="0"/>
          <w:sz w:val="32"/>
          <w:szCs w:val="32"/>
          <w:lang w:val="en-US" w:eastAsia="zh-CN" w:bidi="ar-SA"/>
        </w:rPr>
        <w:t>采用成本效益分析法、单位自评法开展评价工作。</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（五）评价组织。</w:t>
      </w:r>
      <w:r>
        <w:rPr>
          <w:rFonts w:hint="eastAsia" w:ascii="仿宋_GB2312" w:hAnsi="Calibri" w:eastAsia="仿宋_GB2312" w:cs="仿宋"/>
          <w:color w:val="000000"/>
          <w:kern w:val="0"/>
          <w:sz w:val="32"/>
          <w:szCs w:val="32"/>
          <w:lang w:val="en-US" w:eastAsia="zh-CN" w:bidi="ar-SA"/>
        </w:rPr>
        <w:t>本次评价组由财务负责人任组长，财务会计和项目业务股室负责人为成员。组长负责牵头组织、督促评价工作顺利开展，财务会计与项目业务股室负责人分工合作，共同形成自评表和自评报告。</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三、绩效分析</w:t>
      </w:r>
      <w:r>
        <w:rPr>
          <w:rFonts w:hint="eastAsia" w:ascii="仿宋_GB2312" w:hAnsi="Calibri" w:eastAsia="仿宋_GB2312" w:cs="仿宋"/>
          <w:b/>
          <w:bCs/>
          <w:color w:val="000000"/>
          <w:kern w:val="0"/>
          <w:sz w:val="32"/>
          <w:szCs w:val="32"/>
          <w:lang w:val="zh-CN" w:eastAsia="zh-CN" w:bidi="ar-SA"/>
        </w:rPr>
        <w:tab/>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w:t>
      </w:r>
      <w:r>
        <w:rPr>
          <w:rFonts w:hint="eastAsia" w:ascii="仿宋_GB2312" w:hAnsi="Calibri" w:eastAsia="仿宋_GB2312" w:cs="仿宋"/>
          <w:b/>
          <w:bCs/>
          <w:color w:val="000000"/>
          <w:kern w:val="0"/>
          <w:sz w:val="32"/>
          <w:szCs w:val="32"/>
          <w:lang w:val="en-US" w:eastAsia="zh-CN" w:bidi="ar-SA"/>
        </w:rPr>
        <w:t>通用指标</w:t>
      </w:r>
      <w:r>
        <w:rPr>
          <w:rFonts w:hint="default" w:ascii="仿宋_GB2312" w:hAnsi="Calibri" w:eastAsia="仿宋_GB2312" w:cs="仿宋"/>
          <w:b/>
          <w:bCs/>
          <w:color w:val="000000"/>
          <w:kern w:val="0"/>
          <w:sz w:val="32"/>
          <w:szCs w:val="32"/>
          <w:lang w:val="zh-CN" w:eastAsia="zh-CN" w:bidi="ar-SA"/>
        </w:rPr>
        <w:t>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1.项目决策。该项目决策程序合法、规划论证有据、资金投向精准。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2.项目管理。该项目制度办法较完善、资金分配管理规范、绩效监管严密。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3.项目实施。该项目预算</w:t>
      </w:r>
      <w:r>
        <w:rPr>
          <w:rFonts w:hint="eastAsia" w:ascii="仿宋_GB2312" w:hAnsi="Calibri" w:eastAsia="仿宋_GB2312" w:cs="仿宋"/>
          <w:color w:val="000000"/>
          <w:kern w:val="0"/>
          <w:sz w:val="32"/>
          <w:szCs w:val="32"/>
          <w:lang w:val="zh-CN" w:eastAsia="zh-CN" w:bidi="ar-SA"/>
        </w:rPr>
        <w:t>执行率</w:t>
      </w:r>
      <w:r>
        <w:rPr>
          <w:rFonts w:hint="eastAsia" w:ascii="仿宋_GB2312" w:hAnsi="Calibri" w:eastAsia="仿宋_GB2312" w:cs="仿宋"/>
          <w:color w:val="000000"/>
          <w:kern w:val="0"/>
          <w:sz w:val="32"/>
          <w:szCs w:val="32"/>
          <w:lang w:val="en-US" w:eastAsia="zh-CN" w:bidi="ar-SA"/>
        </w:rPr>
        <w:t>100%、资金使用情况良好</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4.项目结果。该项目按时保质保量完成目标。</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（二）</w:t>
      </w:r>
      <w:r>
        <w:rPr>
          <w:rFonts w:hint="eastAsia" w:ascii="仿宋_GB2312" w:hAnsi="Calibri" w:eastAsia="仿宋_GB2312" w:cs="仿宋"/>
          <w:b/>
          <w:bCs/>
          <w:color w:val="000000"/>
          <w:kern w:val="0"/>
          <w:sz w:val="32"/>
          <w:szCs w:val="32"/>
          <w:lang w:val="en-US" w:eastAsia="zh-CN" w:bidi="ar-SA"/>
        </w:rPr>
        <w:t>专用指标</w:t>
      </w:r>
      <w:r>
        <w:rPr>
          <w:rFonts w:hint="default" w:ascii="仿宋_GB2312" w:hAnsi="Calibri" w:eastAsia="仿宋_GB2312" w:cs="仿宋"/>
          <w:b/>
          <w:bCs/>
          <w:color w:val="000000"/>
          <w:kern w:val="0"/>
          <w:sz w:val="32"/>
          <w:szCs w:val="32"/>
          <w:lang w:val="zh-CN" w:eastAsia="zh-CN" w:bidi="ar-SA"/>
        </w:rPr>
        <w:t>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民生保障。</w:t>
      </w:r>
      <w:r>
        <w:rPr>
          <w:rFonts w:hint="eastAsia" w:ascii="仿宋_GB2312" w:hAnsi="Calibri" w:eastAsia="仿宋_GB2312" w:cs="仿宋"/>
          <w:color w:val="000000"/>
          <w:kern w:val="0"/>
          <w:sz w:val="32"/>
          <w:szCs w:val="32"/>
          <w:lang w:val="en-US" w:eastAsia="zh-CN" w:bidi="ar-SA"/>
        </w:rPr>
        <w:t>该项目属于民生保障项目，资金分配区域均衡，对象精准，标准合理有据，调查对象满意度、政府部门满意度高，项目完成较好。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（三）</w:t>
      </w:r>
      <w:r>
        <w:rPr>
          <w:rFonts w:hint="eastAsia" w:ascii="仿宋_GB2312" w:hAnsi="Calibri" w:eastAsia="仿宋_GB2312" w:cs="仿宋"/>
          <w:b/>
          <w:bCs/>
          <w:color w:val="000000"/>
          <w:kern w:val="0"/>
          <w:sz w:val="32"/>
          <w:szCs w:val="32"/>
          <w:lang w:val="en-US" w:eastAsia="zh-CN" w:bidi="ar-SA"/>
        </w:rPr>
        <w:t>个性指标</w:t>
      </w:r>
      <w:r>
        <w:rPr>
          <w:rFonts w:hint="default" w:ascii="仿宋_GB2312" w:hAnsi="Calibri" w:eastAsia="仿宋_GB2312" w:cs="仿宋"/>
          <w:b/>
          <w:bCs/>
          <w:color w:val="000000"/>
          <w:kern w:val="0"/>
          <w:sz w:val="32"/>
          <w:szCs w:val="32"/>
          <w:lang w:val="zh-CN" w:eastAsia="zh-CN" w:bidi="ar-SA"/>
        </w:rPr>
        <w:t>绩效分析。</w:t>
      </w:r>
      <w:r>
        <w:rPr>
          <w:rFonts w:hint="eastAsia" w:ascii="仿宋_GB2312" w:hAnsi="Calibri" w:eastAsia="仿宋_GB2312" w:cs="仿宋"/>
          <w:color w:val="000000"/>
          <w:kern w:val="0"/>
          <w:sz w:val="32"/>
          <w:szCs w:val="32"/>
          <w:lang w:val="zh-CN" w:eastAsia="zh-CN" w:bidi="ar-SA"/>
        </w:rPr>
        <w:t>该项目切实保障民生，促进经济社会高质量发展；成本低，效益好，群众满意度高。</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四、评价结论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决策程序合法、规划论证有理有据、资金投向正确；项目管理规范，资金分配科学合理，绩效目标完整准确；项目实施进度合理，预算执行率达到预期，资金到位率、使用情况良好；项目按时保质保量完成。自评得分：99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五、存在主要问题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六、改进建议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附表：专项预算项目绩效目标完成情况自评表</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sectPr>
          <w:pgSz w:w="11906" w:h="16838"/>
          <w:pgMar w:top="1440" w:right="1800" w:bottom="1440" w:left="1800" w:header="851" w:footer="992" w:gutter="0"/>
          <w:pgNumType w:start="1"/>
          <w:cols w:space="425" w:num="1"/>
          <w:titlePg/>
          <w:docGrid w:type="lines" w:linePitch="312" w:charSpace="0"/>
        </w:sectPr>
      </w:pP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90"/>
        <w:gridCol w:w="1407"/>
        <w:gridCol w:w="1776"/>
        <w:gridCol w:w="2017"/>
        <w:gridCol w:w="1318"/>
        <w:gridCol w:w="1326"/>
        <w:gridCol w:w="1449"/>
        <w:gridCol w:w="1281"/>
        <w:gridCol w:w="125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5000" w:type="pct"/>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21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第五次全国经济普查各级经费补助</w:t>
            </w:r>
            <w:r>
              <w:rPr>
                <w:rFonts w:hint="eastAsia" w:ascii="宋体" w:hAnsi="宋体" w:eastAsia="宋体" w:cs="宋体"/>
                <w:i w:val="0"/>
                <w:color w:val="000000"/>
                <w:sz w:val="24"/>
                <w:szCs w:val="24"/>
                <w:u w:val="none"/>
                <w:lang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1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泸县统计局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1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中长期项目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项目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概况</w:t>
            </w: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第五次全国经济普查各级经费补助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川财预[2023]83号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项目相关工作经费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中长期项目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1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2023</w:t>
            </w:r>
            <w:r>
              <w:rPr>
                <w:rFonts w:ascii="宋体" w:hAnsi="宋体" w:eastAsia="宋体" w:cs="宋体"/>
                <w:i w:val="0"/>
                <w:color w:val="000000"/>
                <w:kern w:val="0"/>
                <w:sz w:val="24"/>
                <w:szCs w:val="24"/>
                <w:u w:val="none"/>
                <w:lang w:val="en-US" w:eastAsia="zh-CN" w:bidi="ar"/>
              </w:rPr>
              <w:t>年度资金总额：</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总体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目标</w:t>
            </w:r>
          </w:p>
        </w:tc>
        <w:tc>
          <w:tcPr>
            <w:tcW w:w="46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6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泸县第五次全国经济普查和第八次投入产出调查合并开展，历时三年。2023年为普查前期准备、单位清查等阶段，2024年为正式普查年度，2025年为普查后期数据开发、利用等阶段。通过此次普查，反映泸县当前经济发展现状，修订普查前五个年度泸县GDP相关数据，为今后五年泸县的经济发展指明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绩效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产出指标</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涉及镇（街道）</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20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单位清查阶段采集个体经营户数量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57989</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57989</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单位清查阶段采集单位数量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10973</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10973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质量指标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单位清查阶段补贴发放率</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为全县增加直接经济效益</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799350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799350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63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可持续发展指标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此项目为可持续项目，每五年一次，每次历时三年。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定性</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优</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优</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63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服务对象满意度指标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发放对象满意度</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90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720" w:type="pc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政府、部门满意度</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90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成本指标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经济成本指标</w:t>
            </w:r>
          </w:p>
        </w:tc>
        <w:tc>
          <w:tcPr>
            <w:tcW w:w="720" w:type="pc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单位清查阶段“两员”劳动报酬发放金额</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799350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799350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20</w:t>
            </w:r>
          </w:p>
        </w:tc>
      </w:tr>
    </w:tbl>
    <w:p>
      <w:pPr>
        <w:pStyle w:val="15"/>
        <w:ind w:left="0" w:leftChars="0" w:firstLine="0" w:firstLineChars="0"/>
        <w:rPr>
          <w:rFonts w:hint="default" w:ascii="黑体" w:hAnsi="黑体" w:eastAsia="黑体" w:cs="黑体"/>
          <w:sz w:val="24"/>
          <w:szCs w:val="24"/>
          <w:highlight w:val="none"/>
          <w:lang w:val="en-US" w:eastAsia="zh-CN"/>
        </w:rPr>
      </w:pPr>
    </w:p>
    <w:p>
      <w:pPr>
        <w:pStyle w:val="6"/>
        <w:spacing w:before="93"/>
        <w:rPr>
          <w:rFonts w:hAnsi="Calibri" w:cs="仿宋"/>
          <w:sz w:val="32"/>
          <w:szCs w:val="32"/>
        </w:rPr>
      </w:pPr>
    </w:p>
    <w:p>
      <w:pPr>
        <w:sectPr>
          <w:pgSz w:w="16838" w:h="11906" w:orient="landscape"/>
          <w:pgMar w:top="1800" w:right="1440" w:bottom="1800" w:left="1440" w:header="851" w:footer="992" w:gutter="0"/>
          <w:pgNumType w:start="1"/>
          <w:cols w:space="425" w:num="1"/>
          <w:titlePg/>
          <w:docGrid w:type="lines" w:linePitch="312" w:charSpace="0"/>
        </w:sectPr>
      </w:pPr>
    </w:p>
    <w:p>
      <w:pPr>
        <w:pStyle w:val="2"/>
        <w:jc w:val="center"/>
        <w:rPr>
          <w:rFonts w:ascii="黑体" w:hAnsi="黑体" w:eastAsia="黑体"/>
        </w:rPr>
      </w:pPr>
      <w:bookmarkStart w:id="96" w:name="_Toc894150221"/>
      <w:bookmarkStart w:id="97" w:name="_Toc758213435"/>
      <w:r>
        <w:rPr>
          <w:rFonts w:hint="eastAsia" w:ascii="黑体" w:hAnsi="黑体" w:eastAsia="黑体"/>
        </w:rPr>
        <w:t>第五部分 附表</w:t>
      </w:r>
      <w:bookmarkEnd w:id="96"/>
      <w:bookmarkEnd w:id="97"/>
    </w:p>
    <w:p>
      <w:pPr>
        <w:outlineLvl w:val="1"/>
        <w:rPr>
          <w:rFonts w:ascii="仿宋" w:hAnsi="仿宋" w:eastAsia="仿宋"/>
          <w:sz w:val="32"/>
          <w:szCs w:val="32"/>
        </w:rPr>
      </w:pPr>
      <w:bookmarkStart w:id="98" w:name="_Toc1315665957"/>
      <w:r>
        <w:rPr>
          <w:rFonts w:hint="eastAsia" w:ascii="仿宋" w:hAnsi="仿宋" w:eastAsia="仿宋"/>
          <w:sz w:val="32"/>
          <w:szCs w:val="32"/>
        </w:rPr>
        <w:t>一、收入支出决算总表</w:t>
      </w:r>
      <w:bookmarkEnd w:id="98"/>
    </w:p>
    <w:p>
      <w:pPr>
        <w:outlineLvl w:val="1"/>
        <w:rPr>
          <w:rFonts w:ascii="仿宋" w:hAnsi="仿宋" w:eastAsia="仿宋"/>
          <w:sz w:val="32"/>
          <w:szCs w:val="32"/>
        </w:rPr>
      </w:pPr>
      <w:bookmarkStart w:id="99" w:name="_Toc1637661384"/>
      <w:r>
        <w:rPr>
          <w:rFonts w:hint="eastAsia" w:ascii="仿宋" w:hAnsi="仿宋" w:eastAsia="仿宋"/>
          <w:sz w:val="32"/>
          <w:szCs w:val="32"/>
        </w:rPr>
        <w:t>二、收入决算表</w:t>
      </w:r>
      <w:bookmarkEnd w:id="99"/>
    </w:p>
    <w:p>
      <w:pPr>
        <w:outlineLvl w:val="1"/>
        <w:rPr>
          <w:rFonts w:ascii="仿宋" w:hAnsi="仿宋" w:eastAsia="仿宋"/>
          <w:sz w:val="32"/>
          <w:szCs w:val="32"/>
        </w:rPr>
      </w:pPr>
      <w:bookmarkStart w:id="100" w:name="_Toc1629033587"/>
      <w:r>
        <w:rPr>
          <w:rFonts w:hint="eastAsia" w:ascii="仿宋" w:hAnsi="仿宋" w:eastAsia="仿宋"/>
          <w:sz w:val="32"/>
          <w:szCs w:val="32"/>
        </w:rPr>
        <w:t>三、支出决算表</w:t>
      </w:r>
      <w:bookmarkEnd w:id="100"/>
    </w:p>
    <w:p>
      <w:pPr>
        <w:outlineLvl w:val="1"/>
        <w:rPr>
          <w:rFonts w:ascii="仿宋" w:hAnsi="仿宋" w:eastAsia="仿宋"/>
          <w:sz w:val="32"/>
          <w:szCs w:val="32"/>
        </w:rPr>
      </w:pPr>
      <w:bookmarkStart w:id="101" w:name="_Toc251374948"/>
      <w:r>
        <w:rPr>
          <w:rFonts w:hint="eastAsia" w:ascii="仿宋" w:hAnsi="仿宋" w:eastAsia="仿宋"/>
          <w:sz w:val="32"/>
          <w:szCs w:val="32"/>
        </w:rPr>
        <w:t>四、财政拨款收入支出决算总表</w:t>
      </w:r>
      <w:bookmarkEnd w:id="101"/>
    </w:p>
    <w:p>
      <w:pPr>
        <w:outlineLvl w:val="1"/>
        <w:rPr>
          <w:rFonts w:ascii="仿宋" w:hAnsi="仿宋" w:eastAsia="仿宋"/>
          <w:sz w:val="32"/>
          <w:szCs w:val="32"/>
        </w:rPr>
      </w:pPr>
      <w:bookmarkStart w:id="102" w:name="_Toc423187499"/>
      <w:r>
        <w:rPr>
          <w:rFonts w:hint="eastAsia" w:ascii="仿宋" w:hAnsi="仿宋" w:eastAsia="仿宋"/>
          <w:sz w:val="32"/>
          <w:szCs w:val="32"/>
        </w:rPr>
        <w:t>五、财政拨款支出决算明细表</w:t>
      </w:r>
      <w:bookmarkEnd w:id="102"/>
    </w:p>
    <w:p>
      <w:pPr>
        <w:outlineLvl w:val="1"/>
        <w:rPr>
          <w:rFonts w:ascii="仿宋" w:hAnsi="仿宋" w:eastAsia="仿宋"/>
          <w:sz w:val="32"/>
          <w:szCs w:val="32"/>
        </w:rPr>
      </w:pPr>
      <w:bookmarkStart w:id="103" w:name="_Toc783047305"/>
      <w:r>
        <w:rPr>
          <w:rFonts w:hint="eastAsia" w:ascii="仿宋" w:hAnsi="仿宋" w:eastAsia="仿宋"/>
          <w:sz w:val="32"/>
          <w:szCs w:val="32"/>
        </w:rPr>
        <w:t>六、一般公共预算财政拨款支出决算表</w:t>
      </w:r>
      <w:bookmarkEnd w:id="103"/>
    </w:p>
    <w:p>
      <w:pPr>
        <w:outlineLvl w:val="1"/>
        <w:rPr>
          <w:rFonts w:ascii="仿宋" w:hAnsi="仿宋" w:eastAsia="仿宋"/>
          <w:sz w:val="32"/>
          <w:szCs w:val="32"/>
        </w:rPr>
      </w:pPr>
      <w:bookmarkStart w:id="104" w:name="_Toc459671336"/>
      <w:r>
        <w:rPr>
          <w:rFonts w:hint="eastAsia" w:ascii="仿宋" w:hAnsi="仿宋" w:eastAsia="仿宋"/>
          <w:sz w:val="32"/>
          <w:szCs w:val="32"/>
        </w:rPr>
        <w:t>七、一般公共预算财政拨款支出决算明细表</w:t>
      </w:r>
      <w:bookmarkEnd w:id="104"/>
    </w:p>
    <w:p>
      <w:pPr>
        <w:outlineLvl w:val="1"/>
        <w:rPr>
          <w:rFonts w:ascii="仿宋" w:hAnsi="仿宋" w:eastAsia="仿宋"/>
          <w:sz w:val="32"/>
          <w:szCs w:val="32"/>
        </w:rPr>
      </w:pPr>
      <w:bookmarkStart w:id="105" w:name="_Toc2011156530"/>
      <w:r>
        <w:rPr>
          <w:rFonts w:hint="eastAsia" w:ascii="仿宋" w:hAnsi="仿宋" w:eastAsia="仿宋"/>
          <w:sz w:val="32"/>
          <w:szCs w:val="32"/>
        </w:rPr>
        <w:t>八、一般公共预算财政拨款基本支出决算表</w:t>
      </w:r>
      <w:bookmarkEnd w:id="105"/>
    </w:p>
    <w:p>
      <w:pPr>
        <w:outlineLvl w:val="1"/>
        <w:rPr>
          <w:rFonts w:ascii="仿宋" w:hAnsi="仿宋" w:eastAsia="仿宋"/>
          <w:sz w:val="32"/>
          <w:szCs w:val="32"/>
        </w:rPr>
      </w:pPr>
      <w:bookmarkStart w:id="106" w:name="_Toc1780971415"/>
      <w:r>
        <w:rPr>
          <w:rFonts w:hint="eastAsia" w:ascii="仿宋" w:hAnsi="仿宋" w:eastAsia="仿宋"/>
          <w:sz w:val="32"/>
          <w:szCs w:val="32"/>
        </w:rPr>
        <w:t>九、一般公共预算财政拨款项目支出决算表</w:t>
      </w:r>
      <w:bookmarkEnd w:id="106"/>
    </w:p>
    <w:p>
      <w:pPr>
        <w:outlineLvl w:val="1"/>
        <w:rPr>
          <w:rFonts w:ascii="仿宋" w:hAnsi="仿宋" w:eastAsia="仿宋"/>
          <w:sz w:val="32"/>
          <w:szCs w:val="32"/>
        </w:rPr>
      </w:pPr>
      <w:bookmarkStart w:id="107" w:name="_Toc932875779"/>
      <w:r>
        <w:rPr>
          <w:rFonts w:hint="eastAsia" w:ascii="仿宋" w:hAnsi="仿宋" w:eastAsia="仿宋"/>
          <w:sz w:val="32"/>
          <w:szCs w:val="32"/>
        </w:rPr>
        <w:t>十、政府性基金预算财政拨款收入支出决算表</w:t>
      </w:r>
      <w:bookmarkEnd w:id="107"/>
    </w:p>
    <w:p>
      <w:pPr>
        <w:outlineLvl w:val="1"/>
        <w:rPr>
          <w:rFonts w:ascii="仿宋" w:hAnsi="仿宋" w:eastAsia="仿宋"/>
          <w:sz w:val="32"/>
          <w:szCs w:val="32"/>
        </w:rPr>
      </w:pPr>
      <w:bookmarkStart w:id="108" w:name="_Toc822804427"/>
      <w:r>
        <w:rPr>
          <w:rFonts w:hint="eastAsia" w:ascii="仿宋" w:hAnsi="仿宋" w:eastAsia="仿宋"/>
          <w:sz w:val="32"/>
          <w:szCs w:val="32"/>
        </w:rPr>
        <w:t>十一、国有资本经营预算财政拨款收入支出决算表</w:t>
      </w:r>
      <w:bookmarkEnd w:id="108"/>
    </w:p>
    <w:p>
      <w:pPr>
        <w:outlineLvl w:val="1"/>
        <w:rPr>
          <w:rFonts w:ascii="仿宋" w:hAnsi="仿宋" w:eastAsia="仿宋"/>
          <w:sz w:val="32"/>
          <w:szCs w:val="32"/>
        </w:rPr>
      </w:pPr>
      <w:bookmarkStart w:id="109" w:name="_Toc1645754212"/>
      <w:r>
        <w:rPr>
          <w:rFonts w:hint="eastAsia" w:ascii="仿宋" w:hAnsi="仿宋" w:eastAsia="仿宋"/>
          <w:sz w:val="32"/>
          <w:szCs w:val="32"/>
        </w:rPr>
        <w:t>十二、国有资本经营预算财政拨款支出决算表</w:t>
      </w:r>
      <w:bookmarkEnd w:id="109"/>
    </w:p>
    <w:p>
      <w:pPr>
        <w:outlineLvl w:val="1"/>
        <w:rPr>
          <w:rFonts w:hint="eastAsia" w:ascii="仿宋" w:hAnsi="仿宋" w:eastAsia="仿宋"/>
          <w:sz w:val="32"/>
          <w:szCs w:val="32"/>
        </w:rPr>
      </w:pPr>
      <w:bookmarkStart w:id="110" w:name="_Toc556797829"/>
      <w:r>
        <w:rPr>
          <w:rFonts w:hint="eastAsia" w:ascii="仿宋" w:hAnsi="仿宋" w:eastAsia="仿宋"/>
          <w:sz w:val="32"/>
          <w:szCs w:val="32"/>
        </w:rPr>
        <w:t>十三、财政拨款“三公”经费支出决算表</w:t>
      </w:r>
      <w:bookmarkEnd w:id="110"/>
    </w:p>
    <w:p>
      <w:pPr>
        <w:pStyle w:val="3"/>
        <w:rPr>
          <w:rFonts w:hint="eastAsia" w:ascii="仿宋" w:hAnsi="仿宋" w:eastAsia="仿宋"/>
          <w:sz w:val="32"/>
          <w:szCs w:val="32"/>
        </w:rPr>
      </w:pPr>
    </w:p>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3000509000000000000"/>
    <w:charset w:val="86"/>
    <w:family w:val="script"/>
    <w:pitch w:val="default"/>
    <w:sig w:usb0="00000001" w:usb1="080E0000" w:usb2="00000000" w:usb3="00000000" w:csb0="00040000" w:csb1="00000000"/>
  </w:font>
  <w:font w:name="Wingdings 2">
    <w:altName w:val="汉仪叶叶相思体简"/>
    <w:panose1 w:val="05020102010507070707"/>
    <w:charset w:val="00"/>
    <w:family w:val="auto"/>
    <w:pitch w:val="default"/>
    <w:sig w:usb0="00000000" w:usb1="00000000" w:usb2="00000000" w:usb3="00000000" w:csb0="80000000" w:csb1="00000000"/>
  </w:font>
  <w:font w:name="汉仪叶叶相思体简">
    <w:panose1 w:val="02010509060101010101"/>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 w:name="Kingsoft Symbol">
    <w:altName w:val="C059"/>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中等线简体">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D465F87"/>
    <w:multiLevelType w:val="singleLevel"/>
    <w:tmpl w:val="FD465F87"/>
    <w:lvl w:ilvl="0" w:tentative="0">
      <w:start w:val="1"/>
      <w:numFmt w:val="chineseCounting"/>
      <w:suff w:val="nothing"/>
      <w:lvlText w:val="%1、"/>
      <w:lvlJc w:val="left"/>
      <w:rPr>
        <w:rFonts w:hint="eastAsia"/>
      </w:rPr>
    </w:lvl>
  </w:abstractNum>
  <w:abstractNum w:abstractNumId="2">
    <w:nsid w:val="FD8AACFD"/>
    <w:multiLevelType w:val="singleLevel"/>
    <w:tmpl w:val="FD8AACFD"/>
    <w:lvl w:ilvl="0" w:tentative="0">
      <w:start w:val="4"/>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EE7626"/>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5FFF64BC"/>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unhideWhenUsed/>
    <w:qFormat/>
    <w:uiPriority w:val="99"/>
    <w:pPr>
      <w:spacing w:beforeLines="0" w:afterLines="0" w:line="540" w:lineRule="exact"/>
    </w:pPr>
    <w:rPr>
      <w:rFonts w:hint="default" w:eastAsia="仿宋_GB2312"/>
      <w:spacing w:val="-2"/>
      <w:sz w:val="32"/>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jc w:val="left"/>
    </w:pPr>
    <w:rPr>
      <w:rFonts w:eastAsia="仿宋_GB2312"/>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2"/>
    <w:qFormat/>
    <w:uiPriority w:val="9"/>
    <w:rPr>
      <w:rFonts w:ascii="Times New Roman" w:hAnsi="Times New Roman"/>
      <w:b/>
      <w:bCs/>
      <w:kern w:val="44"/>
      <w:sz w:val="44"/>
      <w:szCs w:val="44"/>
    </w:rPr>
  </w:style>
  <w:style w:type="character" w:customStyle="1" w:styleId="30">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WPSOffice手动目录 1"/>
    <w:uiPriority w:val="0"/>
    <w:pPr>
      <w:ind w:leftChars="0"/>
    </w:pPr>
    <w:rPr>
      <w:sz w:val="20"/>
      <w:szCs w:val="20"/>
    </w:rPr>
  </w:style>
  <w:style w:type="paragraph" w:customStyle="1" w:styleId="37">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kylin/&#26700;&#38754;/&#36130;&#21153;&#20250;&#35745;&#24037;&#20316;&#31227;&#20132;&#36164;&#26009;/2022&#24180;&#20915;&#31639;&#20844;&#24320;/2022&#24180;&#20915;&#31639;&#20844;&#24320;&#22270;&#24418;&#21644;&#32593;&#3144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ome/kylin/&#26700;&#38754;/&#36130;&#21153;&#20250;&#35745;&#24037;&#20316;&#31227;&#20132;&#36164;&#26009;/2022&#24180;&#20915;&#31639;&#20844;&#24320;/2022&#24180;&#20915;&#31639;&#20844;&#24320;&#22270;&#24418;&#21644;&#32593;&#3144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6130;&#21153;&#20250;&#35745;&#24037;&#20316;&#31227;&#20132;&#36164;&#26009;\2022&#24180;&#20915;&#31639;&#20844;&#24320;\2022&#24180;&#20915;&#31639;&#20844;&#24320;&#22270;&#24418;&#21644;&#32593;&#3144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6130;&#21153;&#20250;&#35745;&#24037;&#20316;&#31227;&#20132;&#36164;&#26009;\2022&#24180;&#20915;&#31639;&#20844;&#24320;\2022&#24180;&#20915;&#31639;&#20844;&#24320;&#22270;&#24418;&#21644;&#32593;&#3144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6130;&#21153;&#20250;&#35745;&#24037;&#20316;&#31227;&#20132;&#36164;&#26009;\2022&#24180;&#20915;&#31639;&#20844;&#24320;\2022&#24180;&#20915;&#31639;&#20844;&#24320;&#22270;&#24418;&#21644;&#32593;&#3144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200" b="1"/>
              <a:t>泸</a:t>
            </a:r>
            <a:r>
              <a:rPr lang="zh-CN" altLang="en-US" sz="1100" b="1"/>
              <a:t>县统计局</a:t>
            </a:r>
            <a:r>
              <a:rPr lang="en-US" altLang="zh-CN" sz="1100" b="1"/>
              <a:t>2023</a:t>
            </a:r>
            <a:r>
              <a:rPr altLang="en-US" sz="1100" b="1"/>
              <a:t>年</a:t>
            </a:r>
            <a:r>
              <a:rPr lang="zh-CN" altLang="en-US" sz="1100" b="1"/>
              <a:t>收、支决算总计变动情况图（单位：万元）</a:t>
            </a:r>
            <a:endParaRPr lang="zh-CN" altLang="en-US" sz="1100" b="1"/>
          </a:p>
        </c:rich>
      </c:tx>
      <c:layout/>
      <c:overlay val="0"/>
      <c:spPr>
        <a:noFill/>
        <a:ln>
          <a:noFill/>
        </a:ln>
        <a:effectLst/>
      </c:spPr>
    </c:title>
    <c:autoTitleDeleted val="0"/>
    <c:plotArea>
      <c:layout/>
      <c:barChart>
        <c:barDir val="col"/>
        <c:grouping val="clustered"/>
        <c:varyColors val="0"/>
        <c:ser>
          <c:idx val="0"/>
          <c:order val="0"/>
          <c:tx>
            <c:strRef>
              <c:f>[2022年决算公开图形和网站.xlsx]Sheet1!$A$3</c:f>
              <c:strCache>
                <c:ptCount val="1"/>
                <c:pt idx="0">
                  <c:v>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[2022年决算公开图形和网站.xlsx]Sheet1!$B$2:$C$2</c:f>
              <c:numCache>
                <c:formatCode>General</c:formatCode>
                <c:ptCount val="2"/>
                <c:pt idx="0">
                  <c:v>2022</c:v>
                </c:pt>
                <c:pt idx="1">
                  <c:v>2023</c:v>
                </c:pt>
              </c:numCache>
            </c:numRef>
          </c:cat>
          <c:val>
            <c:numRef>
              <c:f>[2022年决算公开图形和网站.xlsx]Sheet1!$B$3:$C$3</c:f>
              <c:numCache>
                <c:formatCode>General</c:formatCode>
                <c:ptCount val="2"/>
                <c:pt idx="0">
                  <c:v>1261.52</c:v>
                </c:pt>
                <c:pt idx="1">
                  <c:v>961.32</c:v>
                </c:pt>
              </c:numCache>
            </c:numRef>
          </c:val>
        </c:ser>
        <c:dLbls>
          <c:showLegendKey val="0"/>
          <c:showVal val="0"/>
          <c:showCatName val="0"/>
          <c:showSerName val="0"/>
          <c:showPercent val="0"/>
          <c:showBubbleSize val="0"/>
        </c:dLbls>
        <c:gapWidth val="219"/>
        <c:overlap val="-27"/>
        <c:axId val="299158152"/>
        <c:axId val="299158544"/>
      </c:barChart>
      <c:catAx>
        <c:axId val="29915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8544"/>
        <c:crosses val="autoZero"/>
        <c:auto val="1"/>
        <c:lblAlgn val="ctr"/>
        <c:lblOffset val="100"/>
        <c:noMultiLvlLbl val="0"/>
      </c:catAx>
      <c:valAx>
        <c:axId val="29915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8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b="1"/>
              <a:t>泸县统计局</a:t>
            </a:r>
            <a:r>
              <a:rPr lang="en-US" altLang="zh-CN" sz="1100" b="1"/>
              <a:t>2023</a:t>
            </a:r>
            <a:r>
              <a:rPr altLang="en-US" sz="1100" b="1"/>
              <a:t>年</a:t>
            </a:r>
            <a:r>
              <a:rPr lang="zh-CN" altLang="en-US" sz="1100" b="1"/>
              <a:t>财政拨款收、支总计变动情况表</a:t>
            </a:r>
            <a:endParaRPr lang="en-US" altLang="zh-CN" sz="1100" b="1"/>
          </a:p>
          <a:p>
            <a:pPr>
              <a:defRPr lang="zh-CN" sz="1400" b="0" i="0" u="none" strike="noStrike" kern="1200" spc="0" baseline="0">
                <a:solidFill>
                  <a:schemeClr val="tx1">
                    <a:lumMod val="65000"/>
                    <a:lumOff val="35000"/>
                  </a:schemeClr>
                </a:solidFill>
                <a:latin typeface="+mn-lt"/>
                <a:ea typeface="+mn-ea"/>
                <a:cs typeface="+mn-cs"/>
              </a:defRPr>
            </a:pPr>
            <a:r>
              <a:rPr lang="zh-CN" altLang="en-US" sz="1100" b="1"/>
              <a:t>（单位：万元）</a:t>
            </a:r>
            <a:endParaRPr lang="zh-CN" altLang="en-US" sz="1100" b="1"/>
          </a:p>
        </c:rich>
      </c:tx>
      <c:layout>
        <c:manualLayout>
          <c:xMode val="edge"/>
          <c:yMode val="edge"/>
          <c:x val="0.138666666666667"/>
          <c:y val="0.037037037037037"/>
        </c:manualLayout>
      </c:layout>
      <c:overlay val="0"/>
      <c:spPr>
        <a:noFill/>
        <a:ln>
          <a:noFill/>
        </a:ln>
        <a:effectLst/>
      </c:spPr>
    </c:title>
    <c:autoTitleDeleted val="0"/>
    <c:plotArea>
      <c:layout/>
      <c:barChart>
        <c:barDir val="col"/>
        <c:grouping val="clustered"/>
        <c:varyColors val="0"/>
        <c:ser>
          <c:idx val="0"/>
          <c:order val="0"/>
          <c:tx>
            <c:strRef>
              <c:f>[2022年决算公开图形和网站.xlsx]Sheet1!$A$37</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[2022年决算公开图形和网站.xlsx]Sheet1!$B$36:$C$36</c:f>
              <c:numCache>
                <c:formatCode>General</c:formatCode>
                <c:ptCount val="2"/>
                <c:pt idx="0">
                  <c:v>2022</c:v>
                </c:pt>
                <c:pt idx="1">
                  <c:v>2023</c:v>
                </c:pt>
              </c:numCache>
            </c:numRef>
          </c:cat>
          <c:val>
            <c:numRef>
              <c:f>[2022年决算公开图形和网站.xlsx]Sheet1!$B$37:$C$37</c:f>
              <c:numCache>
                <c:formatCode>General</c:formatCode>
                <c:ptCount val="2"/>
                <c:pt idx="0">
                  <c:v>1261.52</c:v>
                </c:pt>
                <c:pt idx="1">
                  <c:v>961.32</c:v>
                </c:pt>
              </c:numCache>
            </c:numRef>
          </c:val>
        </c:ser>
        <c:dLbls>
          <c:showLegendKey val="0"/>
          <c:showVal val="1"/>
          <c:showCatName val="0"/>
          <c:showSerName val="0"/>
          <c:showPercent val="0"/>
          <c:showBubbleSize val="0"/>
        </c:dLbls>
        <c:gapWidth val="219"/>
        <c:overlap val="-27"/>
        <c:axId val="299159328"/>
        <c:axId val="299159720"/>
      </c:barChart>
      <c:catAx>
        <c:axId val="29915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9720"/>
        <c:crosses val="autoZero"/>
        <c:auto val="1"/>
        <c:lblAlgn val="ctr"/>
        <c:lblOffset val="100"/>
        <c:noMultiLvlLbl val="0"/>
      </c:catAx>
      <c:valAx>
        <c:axId val="299159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b="1"/>
              <a:t>泸县统计局</a:t>
            </a:r>
            <a:r>
              <a:rPr lang="en-US" altLang="zh-CN" sz="1100" b="1"/>
              <a:t>2023</a:t>
            </a:r>
            <a:r>
              <a:rPr altLang="en-US" sz="1100" b="1"/>
              <a:t>年一般公共预算财政拨款支出</a:t>
            </a:r>
            <a:r>
              <a:rPr lang="zh-CN" altLang="en-US" sz="1100" b="1"/>
              <a:t>变动情况表</a:t>
            </a:r>
            <a:endParaRPr lang="en-US" altLang="zh-CN" sz="1100" b="1"/>
          </a:p>
          <a:p>
            <a:pPr>
              <a:defRPr lang="zh-CN" sz="1400" b="0" i="0" u="none" strike="noStrike" kern="1200" spc="0" baseline="0">
                <a:solidFill>
                  <a:schemeClr val="tx1">
                    <a:lumMod val="65000"/>
                    <a:lumOff val="35000"/>
                  </a:schemeClr>
                </a:solidFill>
                <a:latin typeface="+mn-lt"/>
                <a:ea typeface="+mn-ea"/>
                <a:cs typeface="+mn-cs"/>
              </a:defRPr>
            </a:pPr>
            <a:r>
              <a:rPr lang="zh-CN" altLang="en-US" sz="1100" b="1"/>
              <a:t>（单位：万元）</a:t>
            </a:r>
            <a:endParaRPr lang="zh-CN" altLang="en-US" sz="1100" b="1"/>
          </a:p>
        </c:rich>
      </c:tx>
      <c:layout>
        <c:manualLayout>
          <c:xMode val="edge"/>
          <c:yMode val="edge"/>
          <c:x val="0.138666666666667"/>
          <c:y val="0.037037037037037"/>
        </c:manualLayout>
      </c:layout>
      <c:overlay val="0"/>
      <c:spPr>
        <a:noFill/>
        <a:ln>
          <a:noFill/>
        </a:ln>
        <a:effectLst/>
      </c:spPr>
    </c:title>
    <c:autoTitleDeleted val="0"/>
    <c:plotArea>
      <c:layout/>
      <c:barChart>
        <c:barDir val="col"/>
        <c:grouping val="clustered"/>
        <c:varyColors val="0"/>
        <c:ser>
          <c:idx val="0"/>
          <c:order val="0"/>
          <c:tx>
            <c:strRef>
              <c:f>[2022年决算公开图形和网站.xlsx]Sheet1!$A$37</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[2022年决算公开图形和网站.xlsx]Sheet1!$B$36:$C$36</c:f>
              <c:numCache>
                <c:formatCode>General</c:formatCode>
                <c:ptCount val="2"/>
                <c:pt idx="0">
                  <c:v>2022</c:v>
                </c:pt>
                <c:pt idx="1">
                  <c:v>2023</c:v>
                </c:pt>
              </c:numCache>
            </c:numRef>
          </c:cat>
          <c:val>
            <c:numRef>
              <c:f>[2022年决算公开图形和网站.xlsx]Sheet1!$B$37:$C$37</c:f>
              <c:numCache>
                <c:formatCode>General</c:formatCode>
                <c:ptCount val="2"/>
                <c:pt idx="0">
                  <c:v>1261.52</c:v>
                </c:pt>
                <c:pt idx="1">
                  <c:v>961.32</c:v>
                </c:pt>
              </c:numCache>
            </c:numRef>
          </c:val>
        </c:ser>
        <c:dLbls>
          <c:showLegendKey val="0"/>
          <c:showVal val="1"/>
          <c:showCatName val="0"/>
          <c:showSerName val="0"/>
          <c:showPercent val="0"/>
          <c:showBubbleSize val="0"/>
        </c:dLbls>
        <c:gapWidth val="219"/>
        <c:overlap val="-27"/>
        <c:axId val="299159328"/>
        <c:axId val="299159720"/>
      </c:barChart>
      <c:catAx>
        <c:axId val="29915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9720"/>
        <c:crosses val="autoZero"/>
        <c:auto val="1"/>
        <c:lblAlgn val="ctr"/>
        <c:lblOffset val="100"/>
        <c:noMultiLvlLbl val="0"/>
      </c:catAx>
      <c:valAx>
        <c:axId val="299159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泸县统计局202</a:t>
            </a:r>
            <a:r>
              <a:rPr lang="en-US" altLang="zh-CN"/>
              <a:t>3</a:t>
            </a:r>
            <a:r>
              <a:t>年一般公共预算财政拨款支出决算结构图（单位：万元）</a:t>
            </a:r>
          </a:p>
        </c:rich>
      </c:tx>
      <c:layout>
        <c:manualLayout>
          <c:xMode val="edge"/>
          <c:yMode val="edge"/>
          <c:x val="0.114605263157895"/>
          <c:y val="0.0381944444444444"/>
        </c:manualLayout>
      </c:layout>
      <c:overlay val="0"/>
      <c:spPr>
        <a:noFill/>
        <a:ln>
          <a:noFill/>
        </a:ln>
        <a:effectLst/>
      </c:spPr>
    </c:title>
    <c:autoTitleDeleted val="0"/>
    <c:plotArea>
      <c:layout>
        <c:manualLayout>
          <c:layoutTarget val="inner"/>
          <c:xMode val="edge"/>
          <c:yMode val="edge"/>
          <c:x val="0.351"/>
          <c:y val="0.309050925925926"/>
          <c:w val="0.270368421052632"/>
          <c:h val="0.475648148148148"/>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[2022年决算公开图形和网站.xlsx]Sheet1!$A$44:$A$50</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[2022年决算公开图形和网站.xlsx]Sheet1!$B$44:$B$50</c:f>
              <c:numCache>
                <c:formatCode>General</c:formatCode>
                <c:ptCount val="7"/>
                <c:pt idx="0">
                  <c:v>852.62</c:v>
                </c:pt>
                <c:pt idx="4">
                  <c:v>53.64</c:v>
                </c:pt>
                <c:pt idx="5">
                  <c:v>17.79</c:v>
                </c:pt>
                <c:pt idx="6">
                  <c:v>37.28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846052631578947"/>
          <c:y val="0.78865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泸县统计局2023年“三公”经费财政拨款支出结构（单位：万元）</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2"/>
              </a:solidFill>
              <a:ln>
                <a:solidFill>
                  <a:schemeClr val="bg1"/>
                </a:solidFill>
              </a:ln>
              <a:effectLst/>
            </c:spPr>
          </c:dPt>
          <c:dPt>
            <c:idx val="1"/>
            <c:bubble3D val="0"/>
            <c:spPr>
              <a:solidFill>
                <a:schemeClr val="accent4"/>
              </a:solidFill>
              <a:ln>
                <a:solidFill>
                  <a:schemeClr val="bg1"/>
                </a:solidFill>
              </a:ln>
              <a:effectLst/>
            </c:spPr>
          </c:dPt>
          <c:dPt>
            <c:idx val="2"/>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[2022年决算公开图形和网站.xlsx]Sheet1!$A$56:$A$58</c:f>
              <c:strCache>
                <c:ptCount val="3"/>
                <c:pt idx="0">
                  <c:v>因公出国（境）费支出决算</c:v>
                </c:pt>
                <c:pt idx="1">
                  <c:v>公务用车购置及运行维护费支出</c:v>
                </c:pt>
                <c:pt idx="2">
                  <c:v>公务接待费支出</c:v>
                </c:pt>
              </c:strCache>
            </c:strRef>
          </c:cat>
          <c:val>
            <c:numRef>
              <c:f>[2022年决算公开图形和网站.xlsx]Sheet1!$B$56:$B$58</c:f>
              <c:numCache>
                <c:formatCode>General</c:formatCode>
                <c:ptCount val="3"/>
                <c:pt idx="0">
                  <c:v>0</c:v>
                </c:pt>
                <c:pt idx="1">
                  <c:v>0</c:v>
                </c:pt>
                <c:pt idx="2">
                  <c:v>0.8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1535</Words>
  <Characters>8751</Characters>
  <Lines>72</Lines>
  <Paragraphs>20</Paragraphs>
  <TotalTime>10</TotalTime>
  <ScaleCrop>false</ScaleCrop>
  <LinksUpToDate>false</LinksUpToDate>
  <CharactersWithSpaces>10266</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2024-08-05T23:12:00Z</dcterms:created>
  <dc:creator>曹颖</dc:creator>
  <cp:lastModifiedBy>浩</cp:lastModifiedBy>
  <cp:lastPrinted>2023-08-04T02:35:00Z</cp:lastPrinted>
  <dcterms:modified xsi:type="dcterms:W3CDTF">2024-10-10T15:32:29Z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A71C35576098F0F9FA2BFA66FEBBC7DA_42</vt:lpwstr>
  </property>
</Properties>
</file>